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b/>
          <w:bCs/>
          <w:sz w:val="24"/>
          <w:szCs w:val="24"/>
          <w:lang w:eastAsia="ru-RU"/>
        </w:rPr>
        <w:t>ИНФОРМАЦИЯ</w:t>
      </w:r>
      <w:r w:rsidRPr="00AE1625">
        <w:rPr>
          <w:rFonts w:ascii="Times New Roman" w:eastAsia="Times New Roman" w:hAnsi="Times New Roman" w:cs="Times New Roman"/>
          <w:b/>
          <w:bCs/>
          <w:sz w:val="24"/>
          <w:szCs w:val="24"/>
          <w:lang w:eastAsia="ru-RU"/>
        </w:rPr>
        <w:br/>
        <w:t>О СОЦИАЛЬНО-ЭКОНОМИЧЕСКОМ РАЗВИТИИ</w:t>
      </w:r>
      <w:r w:rsidRPr="00AE1625">
        <w:rPr>
          <w:rFonts w:ascii="Times New Roman" w:eastAsia="Times New Roman" w:hAnsi="Times New Roman" w:cs="Times New Roman"/>
          <w:b/>
          <w:bCs/>
          <w:sz w:val="24"/>
          <w:szCs w:val="24"/>
          <w:lang w:eastAsia="ru-RU"/>
        </w:rPr>
        <w:br/>
        <w:t>МУНИЦИПАЛЬНОГО ОБРАЗОВАНИЯ ГОРОД КОГАЛЫМ</w:t>
      </w:r>
      <w:r w:rsidRPr="00AE1625">
        <w:rPr>
          <w:rFonts w:ascii="Times New Roman" w:eastAsia="Times New Roman" w:hAnsi="Times New Roman" w:cs="Times New Roman"/>
          <w:b/>
          <w:bCs/>
          <w:sz w:val="24"/>
          <w:szCs w:val="24"/>
          <w:lang w:eastAsia="ru-RU"/>
        </w:rPr>
        <w:br/>
        <w:t>за январь - март 2011 года</w:t>
      </w:r>
      <w:r w:rsidRPr="00AE1625">
        <w:rPr>
          <w:rFonts w:ascii="Times New Roman" w:eastAsia="Times New Roman" w:hAnsi="Times New Roman" w:cs="Times New Roman"/>
          <w:sz w:val="24"/>
          <w:szCs w:val="24"/>
          <w:lang w:eastAsia="ru-RU"/>
        </w:rPr>
        <w:t xml:space="preserve">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     Оценка социально - экономического развития города за 1 квартал 2011 года произведена на основе статистической информации по состоянию на конец отчетного периода.</w:t>
      </w:r>
      <w:r w:rsidRPr="00AE1625">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ДЕМОГРАФИЧЕСКАЯ СИТУАЦИЯ </w:t>
      </w:r>
    </w:p>
    <w:p w:rsidR="00AE1625" w:rsidRPr="00AE1625" w:rsidRDefault="00AE1625" w:rsidP="00AE1625">
      <w:pPr>
        <w:spacing w:before="100" w:beforeAutospacing="1" w:after="24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За январь - март 2011 года с учетом итогов Всероссийской переписи населения 2010 среднегодовая численность постоянного населения города Когалыма, по предварительным данным, увеличилась по сравнению с аналогичным периодом 2010 года на 1,6 % и составила 58,7 тыс. человек.</w:t>
      </w:r>
      <w:r w:rsidRPr="00AE1625">
        <w:rPr>
          <w:rFonts w:ascii="Times New Roman" w:eastAsia="Times New Roman" w:hAnsi="Times New Roman" w:cs="Times New Roman"/>
          <w:sz w:val="24"/>
          <w:szCs w:val="24"/>
          <w:lang w:eastAsia="ru-RU"/>
        </w:rPr>
        <w:br/>
        <w:t>     За январь - март 2011 года по предварительным данным родилось 201 младенец, что на 56 человек меньше (или на 21,8%), чем за соответствующий период прошлого года. Общий коэффициент рождаемости также снизился с 4,4 до 3,4 промилле.</w:t>
      </w:r>
      <w:r w:rsidRPr="00AE1625">
        <w:rPr>
          <w:rFonts w:ascii="Times New Roman" w:eastAsia="Times New Roman" w:hAnsi="Times New Roman" w:cs="Times New Roman"/>
          <w:sz w:val="24"/>
          <w:szCs w:val="24"/>
          <w:lang w:eastAsia="ru-RU"/>
        </w:rPr>
        <w:br/>
        <w:t>     По сравнению с аналогичным периодом 2010 года число умерших уменьшилось на 16 человек (с 71 до 55 человек) уменьшился, и коэффициент естественной убыли населения с 1,2 до 0,9 промилле.</w:t>
      </w:r>
      <w:r w:rsidRPr="00AE1625">
        <w:rPr>
          <w:rFonts w:ascii="Times New Roman" w:eastAsia="Times New Roman" w:hAnsi="Times New Roman" w:cs="Times New Roman"/>
          <w:sz w:val="24"/>
          <w:szCs w:val="24"/>
          <w:lang w:eastAsia="ru-RU"/>
        </w:rPr>
        <w:br/>
        <w:t>     Уровень естественного прироста населения города снизился на 0,7 промилле и составил 2,5 промилле.</w:t>
      </w:r>
      <w:r w:rsidRPr="00AE1625">
        <w:rPr>
          <w:rFonts w:ascii="Times New Roman" w:eastAsia="Times New Roman" w:hAnsi="Times New Roman" w:cs="Times New Roman"/>
          <w:sz w:val="24"/>
          <w:szCs w:val="24"/>
          <w:lang w:eastAsia="ru-RU"/>
        </w:rPr>
        <w:br/>
        <w:t>     Преобладание рождаемости над смертностью в 3,7 раза обеспечило прирост населения на 146 человек, но по сравнению с аналогичным периодом 2010 года, данный показатель уменьшился на 21,5%.</w:t>
      </w:r>
      <w:r w:rsidRPr="00AE1625">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AE1625">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AE1625">
        <w:rPr>
          <w:rFonts w:ascii="Times New Roman" w:eastAsia="Times New Roman" w:hAnsi="Times New Roman" w:cs="Times New Roman"/>
          <w:sz w:val="24"/>
          <w:szCs w:val="24"/>
          <w:lang w:eastAsia="ru-RU"/>
        </w:rPr>
        <w:br/>
        <w:t>     Тенденция миграционной динамики населения в январе - марте 2011 года характеризуется аналогичным соответствующему периоду прошлого года результатом (отрицательное сальдо).</w:t>
      </w:r>
      <w:r w:rsidRPr="00AE1625">
        <w:rPr>
          <w:rFonts w:ascii="Times New Roman" w:eastAsia="Times New Roman" w:hAnsi="Times New Roman" w:cs="Times New Roman"/>
          <w:sz w:val="24"/>
          <w:szCs w:val="24"/>
          <w:lang w:eastAsia="ru-RU"/>
        </w:rPr>
        <w:br/>
        <w:t>     Количество прибывших граждан по предварительной оценке увеличилось на 103,2% и составило 391 человек, число выбывших из города увеличилось на 107,3%, или 425 человек.</w:t>
      </w:r>
      <w:r w:rsidRPr="00AE1625">
        <w:rPr>
          <w:rFonts w:ascii="Times New Roman" w:eastAsia="Times New Roman" w:hAnsi="Times New Roman" w:cs="Times New Roman"/>
          <w:sz w:val="24"/>
          <w:szCs w:val="24"/>
          <w:lang w:eastAsia="ru-RU"/>
        </w:rPr>
        <w:br/>
        <w:t>     Всего в миграционный оборот было вовлечено 816 человек, или 1,4% от общей численности населения города, в январе - марте 2010 года эти показатели составили 775 или  1,3% от общей численности населения.</w:t>
      </w:r>
      <w:r w:rsidRPr="00AE1625">
        <w:rPr>
          <w:rFonts w:ascii="Times New Roman" w:eastAsia="Times New Roman" w:hAnsi="Times New Roman" w:cs="Times New Roman"/>
          <w:sz w:val="24"/>
          <w:szCs w:val="24"/>
          <w:lang w:eastAsia="ru-RU"/>
        </w:rPr>
        <w:br/>
        <w:t xml:space="preserve">     Всего за январь - март 2011 года миграционное движение сократило численность жителей на 34 человек, тогда как за аналогичный период прошлого года </w:t>
      </w:r>
      <w:r w:rsidRPr="00AE1625">
        <w:rPr>
          <w:rFonts w:ascii="Times New Roman" w:eastAsia="Times New Roman" w:hAnsi="Times New Roman" w:cs="Times New Roman"/>
          <w:sz w:val="24"/>
          <w:szCs w:val="24"/>
          <w:lang w:eastAsia="ru-RU"/>
        </w:rPr>
        <w:br/>
        <w:t>на 17 человек.</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noProof/>
          <w:sz w:val="24"/>
          <w:szCs w:val="24"/>
          <w:lang w:eastAsia="ru-RU"/>
        </w:rPr>
        <w:lastRenderedPageBreak/>
        <w:drawing>
          <wp:inline distT="0" distB="0" distL="0" distR="0">
            <wp:extent cx="5928360" cy="3192780"/>
            <wp:effectExtent l="0" t="0" r="0" b="7620"/>
            <wp:docPr id="4" name="Рисунок 4" descr="http://old.admkogalym.ru/SetPict.gif?nd=458204147&amp;nh=0&amp;pictid=0300000004000P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4147&amp;nh=0&amp;pictid=0300000004000P0000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360" cy="3192780"/>
                    </a:xfrm>
                    <a:prstGeom prst="rect">
                      <a:avLst/>
                    </a:prstGeom>
                    <a:noFill/>
                    <a:ln>
                      <a:noFill/>
                    </a:ln>
                  </pic:spPr>
                </pic:pic>
              </a:graphicData>
            </a:graphic>
          </wp:inline>
        </w:drawing>
      </w:r>
      <w:r w:rsidRPr="00AE1625">
        <w:rPr>
          <w:rFonts w:ascii="Times New Roman" w:eastAsia="Times New Roman" w:hAnsi="Times New Roman" w:cs="Times New Roman"/>
          <w:sz w:val="24"/>
          <w:szCs w:val="24"/>
          <w:lang w:eastAsia="ru-RU"/>
        </w:rPr>
        <w:br/>
        <w:t xml:space="preserve">     В январе - марте  2011 года органами записи актов гражданского состояния зарегистрировано 129 браков, что больше уровня соответствующего периода 2010 года на 20,6%. Разводов зарегистрировано 133, что на 14,2% меньше, чем в январе-марте 2010 года. В результате, за январь - март 2011 года на 1 брак приходится 1,03 развода (январь - март 2010 - 1,45). </w:t>
      </w:r>
      <w:r w:rsidRPr="00AE1625">
        <w:rPr>
          <w:rFonts w:ascii="Times New Roman" w:eastAsia="Times New Roman" w:hAnsi="Times New Roman" w:cs="Times New Roman"/>
          <w:sz w:val="24"/>
          <w:szCs w:val="24"/>
          <w:lang w:eastAsia="ru-RU"/>
        </w:rPr>
        <w:br/>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ПРОМЫШЛЕННОСТЬ</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     В январе - марте 2011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составил  10,9 млрд. рублей. </w:t>
      </w:r>
      <w:r w:rsidRPr="00AE1625">
        <w:rPr>
          <w:rFonts w:ascii="Times New Roman" w:eastAsia="Times New Roman" w:hAnsi="Times New Roman" w:cs="Times New Roman"/>
          <w:sz w:val="24"/>
          <w:szCs w:val="24"/>
          <w:lang w:eastAsia="ru-RU"/>
        </w:rPr>
        <w:br/>
        <w:t>     Структура промышленного производства города сложилась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268"/>
        <w:gridCol w:w="122"/>
        <w:gridCol w:w="1131"/>
        <w:gridCol w:w="122"/>
        <w:gridCol w:w="672"/>
        <w:gridCol w:w="122"/>
        <w:gridCol w:w="31"/>
        <w:gridCol w:w="1131"/>
        <w:gridCol w:w="122"/>
        <w:gridCol w:w="871"/>
      </w:tblGrid>
      <w:tr w:rsidR="00AE1625" w:rsidRPr="00AE1625" w:rsidTr="00AE162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5"/>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январь - март 2010 года </w:t>
            </w:r>
          </w:p>
        </w:tc>
        <w:tc>
          <w:tcPr>
            <w:tcW w:w="1100" w:type="pct"/>
            <w:gridSpan w:val="4"/>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январь - март 2011 года </w:t>
            </w:r>
          </w:p>
        </w:tc>
      </w:tr>
      <w:tr w:rsidR="00AE1625" w:rsidRPr="00AE1625" w:rsidTr="00AE1625">
        <w:trPr>
          <w:tblCellSpacing w:w="15" w:type="dxa"/>
        </w:trPr>
        <w:tc>
          <w:tcPr>
            <w:tcW w:w="23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after="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400" w:type="pct"/>
            <w:gridSpan w:val="3"/>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w:t>
            </w:r>
          </w:p>
        </w:tc>
      </w:tr>
      <w:tr w:rsidR="00AE1625" w:rsidRPr="00AE1625" w:rsidTr="00AE162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7 782,3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71,3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7 093,7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64,8 </w:t>
            </w:r>
          </w:p>
        </w:tc>
      </w:tr>
      <w:tr w:rsidR="00AE1625" w:rsidRPr="00AE1625" w:rsidTr="00AE162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Обрабатывающие производства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996,3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9,1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1 504,0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13,8 </w:t>
            </w:r>
          </w:p>
        </w:tc>
      </w:tr>
      <w:tr w:rsidR="00AE1625" w:rsidRPr="00AE1625" w:rsidTr="00AE162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2 139,7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19,6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2 336,1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21,4 </w:t>
            </w:r>
          </w:p>
        </w:tc>
      </w:tr>
      <w:tr w:rsidR="00AE1625" w:rsidRPr="00AE1625" w:rsidTr="00AE1625">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ИТОГО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10 918,3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100 </w:t>
            </w:r>
          </w:p>
        </w:tc>
        <w:tc>
          <w:tcPr>
            <w:tcW w:w="650" w:type="pct"/>
            <w:gridSpan w:val="3"/>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10 933,8 </w:t>
            </w:r>
          </w:p>
        </w:tc>
        <w:tc>
          <w:tcPr>
            <w:tcW w:w="4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100 </w:t>
            </w:r>
          </w:p>
        </w:tc>
      </w:tr>
    </w:tbl>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     При сравнении объема отгруженных товаров собственного производства, выполненных работ и услуг собственными силами за январь - март 2011 года с аналогичным показателем прошлого года в сопоставимых ценах темп роста составил 94,0%. </w:t>
      </w:r>
      <w:r w:rsidRPr="00AE1625">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w:t>
      </w:r>
      <w:r w:rsidRPr="00AE1625">
        <w:rPr>
          <w:rFonts w:ascii="Times New Roman" w:eastAsia="Times New Roman" w:hAnsi="Times New Roman" w:cs="Times New Roman"/>
          <w:sz w:val="24"/>
          <w:szCs w:val="24"/>
          <w:lang w:eastAsia="ru-RU"/>
        </w:rPr>
        <w:lastRenderedPageBreak/>
        <w:t xml:space="preserve">газового конденсата (65,5%). </w:t>
      </w:r>
      <w:r w:rsidRPr="00AE1625">
        <w:rPr>
          <w:rFonts w:ascii="Times New Roman" w:eastAsia="Times New Roman" w:hAnsi="Times New Roman" w:cs="Times New Roman"/>
          <w:sz w:val="24"/>
          <w:szCs w:val="24"/>
          <w:lang w:eastAsia="ru-RU"/>
        </w:rPr>
        <w:br/>
        <w:t>     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2010 года составил 88,3%.</w:t>
      </w:r>
      <w:r w:rsidRPr="00AE1625">
        <w:rPr>
          <w:rFonts w:ascii="Times New Roman" w:eastAsia="Times New Roman" w:hAnsi="Times New Roman" w:cs="Times New Roman"/>
          <w:sz w:val="24"/>
          <w:szCs w:val="24"/>
          <w:lang w:eastAsia="ru-RU"/>
        </w:rPr>
        <w:br/>
        <w:t>     В январе - марте 2011 года объемы добычи нефти и газа по территории города Когалыма составили 263,0 тыс. тонн нефти и 17,4 млн. куб. метров газа, что соответственно составляет 118,5% и 106,7% к показателям за аналогичный период 2010 года.</w:t>
      </w:r>
      <w:r w:rsidRPr="00AE1625">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по предварительным данным составил 1,5 млрд. рублей, индекс промышленного производства при этом составил 140,4%. </w:t>
      </w:r>
      <w:r w:rsidRPr="00AE1625">
        <w:rPr>
          <w:rFonts w:ascii="Times New Roman" w:eastAsia="Times New Roman" w:hAnsi="Times New Roman" w:cs="Times New Roman"/>
          <w:sz w:val="24"/>
          <w:szCs w:val="24"/>
          <w:lang w:eastAsia="ru-RU"/>
        </w:rPr>
        <w:br/>
        <w:t xml:space="preserve">     Рост объемов обрабатывающего производства обусловлен увеличением объемов производства предприятиями, оказывающими предоставление услуг по производству резиновых и пластмассовых изделий, производящими нефтепродукты, производство металлических изделий, производство машин и оборудования спецназначения, а также производство пищевых продуктов. На долю предприятий данных видов деятельности приходится 57,5% от общего объема продукции обрабатывающих предприятий города. </w:t>
      </w:r>
      <w:r w:rsidRPr="00AE1625">
        <w:rPr>
          <w:rFonts w:ascii="Times New Roman" w:eastAsia="Times New Roman" w:hAnsi="Times New Roman" w:cs="Times New Roman"/>
          <w:sz w:val="24"/>
          <w:szCs w:val="24"/>
          <w:lang w:eastAsia="ru-RU"/>
        </w:rPr>
        <w:br/>
        <w:t xml:space="preserve">     Индекс промышленного производства по виду экономической деятельности «Производство и распределение электроэнергии, газа и воды» за январь - март 2011 года составил 93,1%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предварительным данным составил 2,3 млрд. рублей. </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t>АГРОПРОМЫШЛЕННЫЙ КОМПЛЕКС</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свиней и птицы. </w:t>
      </w:r>
      <w:r w:rsidRPr="00AE1625">
        <w:rPr>
          <w:rFonts w:ascii="Times New Roman" w:eastAsia="Times New Roman" w:hAnsi="Times New Roman" w:cs="Times New Roman"/>
          <w:sz w:val="24"/>
          <w:szCs w:val="24"/>
          <w:lang w:eastAsia="ru-RU"/>
        </w:rPr>
        <w:br/>
        <w:t>     За январь-март 2011 года на территории города Когалыма производство мяса в живом весе составило 33,12 тонны, что превышает объем аналогичного периода прошлого года в 1,4 раза, производство молока 4,73 тонны, что в 2,2 раза выше аналогичного показателя прошлого года.</w:t>
      </w:r>
      <w:r w:rsidRPr="00AE1625">
        <w:rPr>
          <w:rFonts w:ascii="Times New Roman" w:eastAsia="Times New Roman" w:hAnsi="Times New Roman" w:cs="Times New Roman"/>
          <w:sz w:val="24"/>
          <w:szCs w:val="24"/>
          <w:lang w:eastAsia="ru-RU"/>
        </w:rPr>
        <w:br/>
        <w:t xml:space="preserve">     Поголовье крупного рогатого скота в городе на 1 апреля 2011 года составило 40 голов, поголовье свиней - 526 голов, что составляет 58% и 142,2% соответственно. </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Поголовье сельскохозяйственных животных</w:t>
      </w:r>
      <w:r w:rsidRPr="00AE1625">
        <w:rPr>
          <w:rFonts w:ascii="Times New Roman" w:eastAsia="Times New Roman" w:hAnsi="Times New Roman" w:cs="Times New Roman"/>
          <w:sz w:val="24"/>
          <w:szCs w:val="24"/>
          <w:lang w:eastAsia="ru-RU"/>
        </w:rPr>
        <w:br/>
        <w:t xml:space="preserve">в крестьянских (фермерских) хозяйствах, голов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p>
    <w:tbl>
      <w:tblPr>
        <w:tblW w:w="4600" w:type="pct"/>
        <w:tblCellSpacing w:w="15" w:type="dxa"/>
        <w:tblCellMar>
          <w:top w:w="36" w:type="dxa"/>
          <w:left w:w="36" w:type="dxa"/>
          <w:bottom w:w="36" w:type="dxa"/>
          <w:right w:w="36" w:type="dxa"/>
        </w:tblCellMar>
        <w:tblLook w:val="04A0" w:firstRow="1" w:lastRow="0" w:firstColumn="1" w:lastColumn="0" w:noHBand="0" w:noVBand="1"/>
      </w:tblPr>
      <w:tblGrid>
        <w:gridCol w:w="990"/>
        <w:gridCol w:w="2960"/>
        <w:gridCol w:w="1637"/>
        <w:gridCol w:w="1542"/>
        <w:gridCol w:w="1463"/>
      </w:tblGrid>
      <w:tr w:rsidR="00AE1625" w:rsidRPr="00AE1625" w:rsidTr="00AE1625">
        <w:trPr>
          <w:tblCellSpacing w:w="15" w:type="dxa"/>
        </w:trPr>
        <w:tc>
          <w:tcPr>
            <w:tcW w:w="500" w:type="pct"/>
            <w:tcBorders>
              <w:top w:val="single" w:sz="6" w:space="0" w:color="000000"/>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lastRenderedPageBreak/>
              <w:t>№</w:t>
            </w:r>
            <w:r w:rsidRPr="00AE1625">
              <w:rPr>
                <w:rFonts w:ascii="Times New Roman" w:eastAsia="Times New Roman" w:hAnsi="Times New Roman" w:cs="Times New Roman"/>
                <w:sz w:val="24"/>
                <w:szCs w:val="24"/>
                <w:lang w:eastAsia="ru-RU"/>
              </w:rPr>
              <w:br/>
              <w:t xml:space="preserve">п\п </w:t>
            </w:r>
          </w:p>
        </w:tc>
        <w:tc>
          <w:tcPr>
            <w:tcW w:w="1550" w:type="pct"/>
            <w:tcBorders>
              <w:top w:val="single" w:sz="6" w:space="0" w:color="000000"/>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Поголовье </w:t>
            </w:r>
          </w:p>
        </w:tc>
        <w:tc>
          <w:tcPr>
            <w:tcW w:w="850" w:type="pct"/>
            <w:tcBorders>
              <w:top w:val="single" w:sz="6" w:space="0" w:color="000000"/>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Январь - март 2011 года </w:t>
            </w:r>
          </w:p>
        </w:tc>
        <w:tc>
          <w:tcPr>
            <w:tcW w:w="8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Январь - март 2010 года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Темп изменения, %</w:t>
            </w:r>
          </w:p>
        </w:tc>
      </w:tr>
      <w:tr w:rsidR="00AE1625" w:rsidRPr="00AE1625" w:rsidTr="00AE1625">
        <w:trPr>
          <w:tblCellSpacing w:w="15" w:type="dxa"/>
        </w:trPr>
        <w:tc>
          <w:tcPr>
            <w:tcW w:w="50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1.</w:t>
            </w:r>
          </w:p>
        </w:tc>
        <w:tc>
          <w:tcPr>
            <w:tcW w:w="15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Крупный рогатый скот всего,</w:t>
            </w:r>
          </w:p>
        </w:tc>
        <w:tc>
          <w:tcPr>
            <w:tcW w:w="8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40 </w:t>
            </w:r>
          </w:p>
        </w:tc>
        <w:tc>
          <w:tcPr>
            <w:tcW w:w="8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69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58,0 </w:t>
            </w:r>
          </w:p>
        </w:tc>
      </w:tr>
      <w:tr w:rsidR="00AE1625" w:rsidRPr="00AE1625" w:rsidTr="00AE1625">
        <w:trPr>
          <w:tblCellSpacing w:w="15" w:type="dxa"/>
        </w:trPr>
        <w:tc>
          <w:tcPr>
            <w:tcW w:w="500" w:type="pct"/>
            <w:tcBorders>
              <w:top w:val="nil"/>
              <w:left w:val="single" w:sz="6" w:space="0" w:color="000000"/>
              <w:bottom w:val="single" w:sz="6" w:space="0" w:color="000000"/>
              <w:right w:val="nil"/>
            </w:tcBorders>
            <w:hideMark/>
          </w:tcPr>
          <w:p w:rsidR="00AE1625" w:rsidRPr="00AE1625" w:rsidRDefault="00AE1625" w:rsidP="00AE1625">
            <w:pPr>
              <w:spacing w:after="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p>
        </w:tc>
        <w:tc>
          <w:tcPr>
            <w:tcW w:w="15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в том числе коровы </w:t>
            </w:r>
          </w:p>
        </w:tc>
        <w:tc>
          <w:tcPr>
            <w:tcW w:w="8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15 </w:t>
            </w:r>
          </w:p>
        </w:tc>
        <w:tc>
          <w:tcPr>
            <w:tcW w:w="8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16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93,8 </w:t>
            </w:r>
          </w:p>
        </w:tc>
      </w:tr>
      <w:tr w:rsidR="00AE1625" w:rsidRPr="00AE1625" w:rsidTr="00AE1625">
        <w:trPr>
          <w:tblCellSpacing w:w="15" w:type="dxa"/>
        </w:trPr>
        <w:tc>
          <w:tcPr>
            <w:tcW w:w="50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2.</w:t>
            </w:r>
          </w:p>
        </w:tc>
        <w:tc>
          <w:tcPr>
            <w:tcW w:w="15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Свиньи </w:t>
            </w:r>
          </w:p>
        </w:tc>
        <w:tc>
          <w:tcPr>
            <w:tcW w:w="8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526 </w:t>
            </w:r>
          </w:p>
        </w:tc>
        <w:tc>
          <w:tcPr>
            <w:tcW w:w="8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370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142,2 </w:t>
            </w:r>
          </w:p>
        </w:tc>
      </w:tr>
      <w:tr w:rsidR="00AE1625" w:rsidRPr="00AE1625" w:rsidTr="00AE1625">
        <w:trPr>
          <w:tblCellSpacing w:w="15" w:type="dxa"/>
        </w:trPr>
        <w:tc>
          <w:tcPr>
            <w:tcW w:w="50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3.</w:t>
            </w:r>
          </w:p>
        </w:tc>
        <w:tc>
          <w:tcPr>
            <w:tcW w:w="15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Птица </w:t>
            </w:r>
          </w:p>
        </w:tc>
        <w:tc>
          <w:tcPr>
            <w:tcW w:w="8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1541 </w:t>
            </w:r>
          </w:p>
        </w:tc>
        <w:tc>
          <w:tcPr>
            <w:tcW w:w="8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0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Х </w:t>
            </w:r>
          </w:p>
        </w:tc>
      </w:tr>
      <w:tr w:rsidR="00AE1625" w:rsidRPr="00AE1625" w:rsidTr="00AE1625">
        <w:trPr>
          <w:tblCellSpacing w:w="15" w:type="dxa"/>
        </w:trPr>
        <w:tc>
          <w:tcPr>
            <w:tcW w:w="50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4.</w:t>
            </w:r>
          </w:p>
        </w:tc>
        <w:tc>
          <w:tcPr>
            <w:tcW w:w="15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Кролики </w:t>
            </w:r>
          </w:p>
        </w:tc>
        <w:tc>
          <w:tcPr>
            <w:tcW w:w="850" w:type="pct"/>
            <w:tcBorders>
              <w:top w:val="nil"/>
              <w:left w:val="single" w:sz="6" w:space="0" w:color="000000"/>
              <w:bottom w:val="single" w:sz="6" w:space="0" w:color="000000"/>
              <w:right w:val="nil"/>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1590 </w:t>
            </w:r>
          </w:p>
        </w:tc>
        <w:tc>
          <w:tcPr>
            <w:tcW w:w="8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0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Х </w:t>
            </w:r>
          </w:p>
        </w:tc>
      </w:tr>
    </w:tbl>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с 2011 начала свое действие городская целевая программа «Развитие агропромышленного комплекса муниципального образования город Когалым на 2011 2013 годы» (принята постановлением Администрации 29 октября 2010 года №2140). Данная программа является продолжением городской целевой программы «Реализация приоритетного национального проекта «Развитие агропромышленного комплекса на территории города Когалыма на 2008-2010 годы». </w:t>
      </w:r>
      <w:r w:rsidRPr="00AE1625">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в программе «Развитие агропромышленного комплекса муниципального образования город Когалым на 2011-2013 годы» предусмотрены мероприятия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городском рынке с получением муниципальной финансовой поддержки. </w:t>
      </w:r>
      <w:r w:rsidRPr="00AE1625">
        <w:rPr>
          <w:rFonts w:ascii="Times New Roman" w:eastAsia="Times New Roman" w:hAnsi="Times New Roman" w:cs="Times New Roman"/>
          <w:sz w:val="24"/>
          <w:szCs w:val="24"/>
          <w:lang w:eastAsia="ru-RU"/>
        </w:rPr>
        <w:br/>
        <w:t>     Постановлением Администрации города Когалыма от 08.12.2009 №2600 утвержден Порядок предоставления муниципальной финансовой поддержки развития сельскохозяйственного производства. Данным Порядком определены условия, порядок предоставления и возврата, контроль и ответственность за предоставлением муниципальной поддержки в виде субсидии в целях возмещения затрат связанных с реализацией сельскохозяйственной продукции на городском рынке города Когалыма (арендная плата за торговые места). Выплата субсидии осуществляется за счет средств городской целевой программы «Развитие агропромышленного комплекса муниципального образования город Когалым на 2011-2013 годы». За январь - март 2011 года возмещение затрат не производилось, в связи с подготовкой нормативной документации по мероприятию программы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r w:rsidRPr="00AE1625">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AE1625">
        <w:rPr>
          <w:rFonts w:ascii="Times New Roman" w:eastAsia="Times New Roman" w:hAnsi="Times New Roman" w:cs="Times New Roman"/>
          <w:sz w:val="24"/>
          <w:szCs w:val="24"/>
          <w:lang w:eastAsia="ru-RU"/>
        </w:rPr>
        <w:br/>
        <w:t xml:space="preserve">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w:t>
      </w:r>
      <w:r w:rsidRPr="00AE1625">
        <w:rPr>
          <w:rFonts w:ascii="Times New Roman" w:eastAsia="Times New Roman" w:hAnsi="Times New Roman" w:cs="Times New Roman"/>
          <w:sz w:val="24"/>
          <w:szCs w:val="24"/>
          <w:lang w:eastAsia="ru-RU"/>
        </w:rPr>
        <w:lastRenderedPageBreak/>
        <w:t>продукции. На 2011 год Соглашением запланировано производство и реализация 18 тонн мяса.</w:t>
      </w:r>
      <w:r w:rsidRPr="00AE1625">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t xml:space="preserve">МАЛОЕ ПРЕДПРИНИМАТЕЛЬСТВО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     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w:t>
      </w:r>
      <w:r w:rsidRPr="00AE1625">
        <w:rPr>
          <w:rFonts w:ascii="Times New Roman" w:eastAsia="Times New Roman" w:hAnsi="Times New Roman" w:cs="Times New Roman"/>
          <w:sz w:val="24"/>
          <w:szCs w:val="24"/>
          <w:lang w:eastAsia="ru-RU"/>
        </w:rPr>
        <w:br/>
        <w:t>     В январе - марте 2011 года количество малых предприятий по предварительным данным составило 265 единиц, или 105,2% к уровню соответствующего периода 2010 года.</w:t>
      </w:r>
      <w:r w:rsidRPr="00AE1625">
        <w:rPr>
          <w:rFonts w:ascii="Times New Roman" w:eastAsia="Times New Roman" w:hAnsi="Times New Roman" w:cs="Times New Roman"/>
          <w:sz w:val="24"/>
          <w:szCs w:val="24"/>
          <w:lang w:eastAsia="ru-RU"/>
        </w:rPr>
        <w:br/>
        <w:t>     Численность работников в них увеличилась на 3,0% и составила 3,4 тыс. человек. С учетом индивидуальных предпринимателей общее количество работающих в секторе малого бизнеса составило 4,7 тыс. человек, это свыше 11% от общей численности занятых в экономике города. Количество индивидуальных предпринимателей за январь - март 2011 года по отношению к соответствующему периоду прошлого года увеличилось на 100 единиц (с 1182 до 1282 единиц).</w:t>
      </w:r>
      <w:r w:rsidRPr="00AE1625">
        <w:rPr>
          <w:rFonts w:ascii="Times New Roman" w:eastAsia="Times New Roman" w:hAnsi="Times New Roman" w:cs="Times New Roman"/>
          <w:sz w:val="24"/>
          <w:szCs w:val="24"/>
          <w:lang w:eastAsia="ru-RU"/>
        </w:rPr>
        <w:br/>
        <w:t>     Деловой активности малых предприятий способствует созданная в 2009 году сеть инфраструктурных организаций, предоставляющих малому бизнесу финансовые и другие услуги, среди них представительство Сургутского филиала Фонда поддержки предпринимательства Югры в городе Когалыме, представительство общества с ограниченной ответственностью «Окружной Бизнес-Инкубатор».</w:t>
      </w:r>
      <w:r w:rsidRPr="00AE1625">
        <w:rPr>
          <w:rFonts w:ascii="Times New Roman" w:eastAsia="Times New Roman" w:hAnsi="Times New Roman" w:cs="Times New Roman"/>
          <w:sz w:val="24"/>
          <w:szCs w:val="24"/>
          <w:lang w:eastAsia="ru-RU"/>
        </w:rPr>
        <w:br/>
        <w:t>     Кроме того, в целях содействия развития малого и среднего предпринимательства на территории города Когалыма, постановлением Администрации города Когалыма №2139 от 29 октября 2010 года была принята долгосрочная целевая программа  «Развитие малого и среднего предпринимательства в городе Когалыме на 2011-2015 годы».</w:t>
      </w:r>
      <w:r w:rsidRPr="00AE1625">
        <w:rPr>
          <w:rFonts w:ascii="Times New Roman" w:eastAsia="Times New Roman" w:hAnsi="Times New Roman" w:cs="Times New Roman"/>
          <w:sz w:val="24"/>
          <w:szCs w:val="24"/>
          <w:lang w:eastAsia="ru-RU"/>
        </w:rPr>
        <w:br/>
        <w:t xml:space="preserve">     В рамках Программы осуществляется финансовая поддержка организаций, образующих инфраструктуру поддержки субъектов малого и среднего предпринимательства в городе Когалыме путём предоставления субсидий. </w:t>
      </w:r>
      <w:r w:rsidRPr="00AE1625">
        <w:rPr>
          <w:rFonts w:ascii="Times New Roman" w:eastAsia="Times New Roman" w:hAnsi="Times New Roman" w:cs="Times New Roman"/>
          <w:sz w:val="24"/>
          <w:szCs w:val="24"/>
          <w:lang w:eastAsia="ru-RU"/>
        </w:rPr>
        <w:br/>
        <w:t xml:space="preserve">     Субъектам малого и среднего предпринимательства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w:t>
      </w:r>
      <w:r w:rsidRPr="00AE1625">
        <w:rPr>
          <w:rFonts w:ascii="Times New Roman" w:eastAsia="Times New Roman" w:hAnsi="Times New Roman" w:cs="Times New Roman"/>
          <w:sz w:val="24"/>
          <w:szCs w:val="24"/>
          <w:lang w:eastAsia="ru-RU"/>
        </w:rPr>
        <w:br/>
        <w:t>     В рамках оказания информационной поддержки, в еженедельной газете «Когалымский вестник» было размещено 2 информационных объявления: «О проведении сплошного федерального статистического обследования субъектов малого и среднего предпринимательства в 2011 году»; «О трёхдневном бесплатном обучающем семинаре для субъектов малого и среднего предпринимательства и безработных граждан города Когалыма».</w:t>
      </w:r>
      <w:r w:rsidRPr="00AE1625">
        <w:rPr>
          <w:rFonts w:ascii="Times New Roman" w:eastAsia="Times New Roman" w:hAnsi="Times New Roman" w:cs="Times New Roman"/>
          <w:sz w:val="24"/>
          <w:szCs w:val="24"/>
          <w:lang w:eastAsia="ru-RU"/>
        </w:rPr>
        <w:br/>
        <w:t>     В рамках проведения образовательных мероприятий в отчетном периоде был проведен трёхдневный семинар для субъектов малого и среднего предпринимательства и лиц, желающих заниматься предпринимательской деятельностью на тему: «Основы предпринимательской деятельности». В данном мероприятии приняли участие 22 человека.  </w:t>
      </w:r>
      <w:r w:rsidRPr="00AE1625">
        <w:rPr>
          <w:rFonts w:ascii="Times New Roman" w:eastAsia="Times New Roman" w:hAnsi="Times New Roman" w:cs="Times New Roman"/>
          <w:sz w:val="24"/>
          <w:szCs w:val="24"/>
          <w:lang w:eastAsia="ru-RU"/>
        </w:rPr>
        <w:br/>
        <w:t xml:space="preserve">     В феврале 2011 года в рамках «Организации и проведения публичных мероприятий с участием субъектов малого и среднего предпринимательства» был организован круглый стол на тему: «Малое предпринимательство как фактор обеспечения занятости», </w:t>
      </w:r>
      <w:r w:rsidRPr="00AE1625">
        <w:rPr>
          <w:rFonts w:ascii="Times New Roman" w:eastAsia="Times New Roman" w:hAnsi="Times New Roman" w:cs="Times New Roman"/>
          <w:sz w:val="24"/>
          <w:szCs w:val="24"/>
          <w:lang w:eastAsia="ru-RU"/>
        </w:rPr>
        <w:lastRenderedPageBreak/>
        <w:t>организаторами которого выступили Администрация города Когалыма, Фонд поддержки предпринимательства Югры, ООО «Окружной Бизнес - Инкубатор» и Когалымский центр занятости населения. К данному мероприятию были привлечены лица, заинтересованные в открытии собственного дела, а  также безработные граждане города Когалыма, которые были проинформированы о возможных формах поддержки.</w:t>
      </w:r>
      <w:r w:rsidRPr="00AE1625">
        <w:rPr>
          <w:rFonts w:ascii="Times New Roman" w:eastAsia="Times New Roman" w:hAnsi="Times New Roman" w:cs="Times New Roman"/>
          <w:sz w:val="24"/>
          <w:szCs w:val="24"/>
          <w:lang w:eastAsia="ru-RU"/>
        </w:rPr>
        <w:br/>
        <w:t>     На официальном сайте Администрации города Когалыма в разделе «Малое и среднее предпринимательство» размещен текст Программы, действующий Реестр субъектов малого и среднего предпринимательства - получателей поддержки.</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t>ИНВЕСТИЦИИ</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     За январь - март 2011 года объем инвестиций в основной капитал за счет всех источников финансирования, по предварительным данным составил 1 660,5 млн. рублей или 105,6% к аналогичному показателю 2010 года в сопоставимых ценах. Основную долю в структуре инвестиций по источникам финансирования занимают собственные средства предприятий - 87,6 %, остальная часть приходится на долю привлеченных средств. </w:t>
      </w:r>
      <w:r w:rsidRPr="00AE1625">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AE1625">
        <w:rPr>
          <w:rFonts w:ascii="Times New Roman" w:eastAsia="Times New Roman" w:hAnsi="Times New Roman" w:cs="Times New Roman"/>
          <w:sz w:val="24"/>
          <w:szCs w:val="24"/>
          <w:lang w:eastAsia="ru-RU"/>
        </w:rPr>
        <w:br/>
        <w:t>     - добыча полезных ископаемых - 71,0 %;</w:t>
      </w:r>
      <w:r w:rsidRPr="00AE1625">
        <w:rPr>
          <w:rFonts w:ascii="Times New Roman" w:eastAsia="Times New Roman" w:hAnsi="Times New Roman" w:cs="Times New Roman"/>
          <w:sz w:val="24"/>
          <w:szCs w:val="24"/>
          <w:lang w:eastAsia="ru-RU"/>
        </w:rPr>
        <w:br/>
        <w:t>     - обрабатывающие производства - 1,0 %;</w:t>
      </w:r>
      <w:r w:rsidRPr="00AE1625">
        <w:rPr>
          <w:rFonts w:ascii="Times New Roman" w:eastAsia="Times New Roman" w:hAnsi="Times New Roman" w:cs="Times New Roman"/>
          <w:sz w:val="24"/>
          <w:szCs w:val="24"/>
          <w:lang w:eastAsia="ru-RU"/>
        </w:rPr>
        <w:br/>
        <w:t>     - производство и распределение электроэнергии, газа и воды - 3,1 %;</w:t>
      </w:r>
      <w:r w:rsidRPr="00AE1625">
        <w:rPr>
          <w:rFonts w:ascii="Times New Roman" w:eastAsia="Times New Roman" w:hAnsi="Times New Roman" w:cs="Times New Roman"/>
          <w:sz w:val="24"/>
          <w:szCs w:val="24"/>
          <w:lang w:eastAsia="ru-RU"/>
        </w:rPr>
        <w:br/>
        <w:t>     - строительство - 5,2 %;</w:t>
      </w:r>
      <w:r w:rsidRPr="00AE1625">
        <w:rPr>
          <w:rFonts w:ascii="Times New Roman" w:eastAsia="Times New Roman" w:hAnsi="Times New Roman" w:cs="Times New Roman"/>
          <w:sz w:val="24"/>
          <w:szCs w:val="24"/>
          <w:lang w:eastAsia="ru-RU"/>
        </w:rPr>
        <w:br/>
        <w:t>     - транспорт и связь - 3,7 %;</w:t>
      </w:r>
      <w:r w:rsidRPr="00AE1625">
        <w:rPr>
          <w:rFonts w:ascii="Times New Roman" w:eastAsia="Times New Roman" w:hAnsi="Times New Roman" w:cs="Times New Roman"/>
          <w:sz w:val="24"/>
          <w:szCs w:val="24"/>
          <w:lang w:eastAsia="ru-RU"/>
        </w:rPr>
        <w:br/>
        <w:t>     - операции с недвижимым имуществом - 9,3 %;</w:t>
      </w:r>
      <w:r w:rsidRPr="00AE1625">
        <w:rPr>
          <w:rFonts w:ascii="Times New Roman" w:eastAsia="Times New Roman" w:hAnsi="Times New Roman" w:cs="Times New Roman"/>
          <w:sz w:val="24"/>
          <w:szCs w:val="24"/>
          <w:lang w:eastAsia="ru-RU"/>
        </w:rPr>
        <w:br/>
        <w:t>     - прочие виды деятельности - 6,7 %.</w:t>
      </w:r>
      <w:r w:rsidRPr="00AE1625">
        <w:rPr>
          <w:rFonts w:ascii="Times New Roman" w:eastAsia="Times New Roman" w:hAnsi="Times New Roman" w:cs="Times New Roman"/>
          <w:sz w:val="24"/>
          <w:szCs w:val="24"/>
          <w:lang w:eastAsia="ru-RU"/>
        </w:rPr>
        <w:br/>
        <w:t>     В отчетном периоде в городе осуществлялась реализация следующих программ Ханты-Мансийского автономного округа - Югры:</w:t>
      </w:r>
      <w:r w:rsidRPr="00AE1625">
        <w:rPr>
          <w:rFonts w:ascii="Times New Roman" w:eastAsia="Times New Roman" w:hAnsi="Times New Roman" w:cs="Times New Roman"/>
          <w:sz w:val="24"/>
          <w:szCs w:val="24"/>
          <w:lang w:eastAsia="ru-RU"/>
        </w:rPr>
        <w:br/>
        <w:t xml:space="preserve">     - «Улучшение жилищных условий населения Ханты-Мансийского автономного округа - Югры на 2005 - 2015 годы» за счет переходящего остатка средств бюджета округа, </w:t>
      </w:r>
      <w:r w:rsidRPr="00AE1625">
        <w:rPr>
          <w:rFonts w:ascii="Times New Roman" w:eastAsia="Times New Roman" w:hAnsi="Times New Roman" w:cs="Times New Roman"/>
          <w:sz w:val="24"/>
          <w:szCs w:val="24"/>
          <w:lang w:eastAsia="ru-RU"/>
        </w:rPr>
        <w:br/>
        <w:t>     - «Содействие развитию жилищного строительства на 2011 - 2013 годы и на период до 2015 года».</w:t>
      </w:r>
      <w:r w:rsidRPr="00AE1625">
        <w:rPr>
          <w:rFonts w:ascii="Times New Roman" w:eastAsia="Times New Roman" w:hAnsi="Times New Roman" w:cs="Times New Roman"/>
          <w:sz w:val="24"/>
          <w:szCs w:val="24"/>
          <w:lang w:eastAsia="ru-RU"/>
        </w:rPr>
        <w:br/>
        <w:t>     За счет переходящих остатков средств бюджета округа осуществлялась финансирование по программам прошлого года:</w:t>
      </w:r>
      <w:r w:rsidRPr="00AE1625">
        <w:rPr>
          <w:rFonts w:ascii="Times New Roman" w:eastAsia="Times New Roman" w:hAnsi="Times New Roman" w:cs="Times New Roman"/>
          <w:sz w:val="24"/>
          <w:szCs w:val="24"/>
          <w:lang w:eastAsia="ru-RU"/>
        </w:rPr>
        <w:br/>
        <w:t>     - «Развитие материально-технической базы отраслей социальной сферы Ханты-Мансийского автономного округа - Югры на 2006 - 2010 годы»,</w:t>
      </w:r>
      <w:r w:rsidRPr="00AE1625">
        <w:rPr>
          <w:rFonts w:ascii="Times New Roman" w:eastAsia="Times New Roman" w:hAnsi="Times New Roman" w:cs="Times New Roman"/>
          <w:sz w:val="24"/>
          <w:szCs w:val="24"/>
          <w:lang w:eastAsia="ru-RU"/>
        </w:rPr>
        <w:br/>
        <w:t>     - «Развитие материально-технической базы дошкольных образовательных учреждений в Ханты-Мансийском автономном округе - Югре на 2007 - 2010 годы».</w:t>
      </w:r>
      <w:r w:rsidRPr="00AE1625">
        <w:rPr>
          <w:rFonts w:ascii="Times New Roman" w:eastAsia="Times New Roman" w:hAnsi="Times New Roman" w:cs="Times New Roman"/>
          <w:sz w:val="24"/>
          <w:szCs w:val="24"/>
          <w:lang w:eastAsia="ru-RU"/>
        </w:rPr>
        <w:br/>
        <w:t xml:space="preserve">     В январе-марте 2011 года на реализацию мероприятий региональных программ в городе Когалыме (с учетом переходящих остатков прошлых лет) объем капитальных вложений запланирован в сумме 66,7 млн. рублей (из них 57,3% - окружной бюджет, 42,2% - окружной бюджет, 57,8% - местный бюджет). За первый квартал 2011 года освоено 66,4 млн. рублей, что составляет 99,6% от запланированного объема на отчетный период. </w:t>
      </w:r>
      <w:r w:rsidRPr="00AE1625">
        <w:rPr>
          <w:rFonts w:ascii="Times New Roman" w:eastAsia="Times New Roman" w:hAnsi="Times New Roman" w:cs="Times New Roman"/>
          <w:sz w:val="24"/>
          <w:szCs w:val="24"/>
          <w:lang w:eastAsia="ru-RU"/>
        </w:rPr>
        <w:br/>
        <w:t xml:space="preserve">     Объем капитальных вложений в размере 4,3 млн. руб. или 6,4% от запланированного объема за счет бюджета округа и 38,6 млн. руб. или 57,8% от запланированного объема за счет средств местного бюджета был направлен на реализацию программы «Содействие развитию жилищного строительства на 2011 - 2013 годы и на период до 2015 года». Средства в полном объеме в рамках подпрограммы «Стимулирование застройщиков по реализации проектов развития застроенных территорий» были направлены на </w:t>
      </w:r>
      <w:r w:rsidRPr="00AE1625">
        <w:rPr>
          <w:rFonts w:ascii="Times New Roman" w:eastAsia="Times New Roman" w:hAnsi="Times New Roman" w:cs="Times New Roman"/>
          <w:sz w:val="24"/>
          <w:szCs w:val="24"/>
          <w:lang w:eastAsia="ru-RU"/>
        </w:rPr>
        <w:lastRenderedPageBreak/>
        <w:t xml:space="preserve">строительство трехэтажного дома в левобережной части города Когалыма. </w:t>
      </w:r>
      <w:r w:rsidRPr="00AE1625">
        <w:rPr>
          <w:rFonts w:ascii="Times New Roman" w:eastAsia="Times New Roman" w:hAnsi="Times New Roman" w:cs="Times New Roman"/>
          <w:sz w:val="24"/>
          <w:szCs w:val="24"/>
          <w:lang w:eastAsia="ru-RU"/>
        </w:rPr>
        <w:br/>
        <w:t>     Остатки объема капитальных вложений в размере 15,4 млн. руб. или 23,1% от запланированного объема на первый квартал 2011 года из средств бюджета округа был направлен в рамках реализации программы «Развитие материально-технической базы отраслей социальной сферы Ханты-Мансийского автономного округа - Югры на 2006 - 2010 годы» на строительство административного здания.</w:t>
      </w:r>
      <w:r w:rsidRPr="00AE1625">
        <w:rPr>
          <w:rFonts w:ascii="Times New Roman" w:eastAsia="Times New Roman" w:hAnsi="Times New Roman" w:cs="Times New Roman"/>
          <w:sz w:val="24"/>
          <w:szCs w:val="24"/>
          <w:lang w:eastAsia="ru-RU"/>
        </w:rPr>
        <w:br/>
        <w:t>     За счет переходящих остатков бюджета округа осуществлялось финансирование по программам 2010 года:</w:t>
      </w:r>
      <w:r w:rsidRPr="00AE1625">
        <w:rPr>
          <w:rFonts w:ascii="Times New Roman" w:eastAsia="Times New Roman" w:hAnsi="Times New Roman" w:cs="Times New Roman"/>
          <w:sz w:val="24"/>
          <w:szCs w:val="24"/>
          <w:lang w:eastAsia="ru-RU"/>
        </w:rPr>
        <w:br/>
        <w:t>     - В размере 5,9 млн. руб. или 8,8% от запланированного объема на первый квартал 2011 года из средств бюджета округа был направлен на реализацию программы «Развитие материально-технической базы дошкольных образовательных учреждений в Ханты-Мансийском автономном округе - Югре на 2007 - 2010 годы» на строительство детского сада.</w:t>
      </w:r>
      <w:r w:rsidRPr="00AE1625">
        <w:rPr>
          <w:rFonts w:ascii="Times New Roman" w:eastAsia="Times New Roman" w:hAnsi="Times New Roman" w:cs="Times New Roman"/>
          <w:sz w:val="24"/>
          <w:szCs w:val="24"/>
          <w:lang w:eastAsia="ru-RU"/>
        </w:rPr>
        <w:br/>
        <w:t xml:space="preserve">     - В размере 2,3 млн. рублей или 3,5% от запланированного объема на первый квартал 2011 года из средств бюджета округа был направлен на реализацию программы «Улучшение жилищных условий населения Ханты-Мансийского автономного округа - Югры на 2005 - 2015 годы» на подпрограмму «Проектирование и строительство инженерных сетей». По подпрограмме ведётся строительство первой очереди магистральных и внутриквартальных инженерных сетей застройки жилыми домами в городе Когалыме. </w:t>
      </w:r>
      <w:r w:rsidRPr="00AE1625">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март 2011 года составил по предварительным данным 2 018,7 млн. рублей или 108,5% к аналогичному периоду прошлого года в сопоставимых ценах.</w:t>
      </w:r>
      <w:r w:rsidRPr="00AE1625">
        <w:rPr>
          <w:rFonts w:ascii="Times New Roman" w:eastAsia="Times New Roman" w:hAnsi="Times New Roman" w:cs="Times New Roman"/>
          <w:sz w:val="24"/>
          <w:szCs w:val="24"/>
          <w:lang w:eastAsia="ru-RU"/>
        </w:rPr>
        <w:br/>
        <w:t xml:space="preserve">     В январе - марте 2011 года на территории города продолжается строительство 3 жилых здания общей площадью около 19,0 тыс. кв.м. </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ЖИЛИЩНО - КОММУНАЛЬНОЕ ХОЗЯЙСТВО</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AE1625">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Жилищный фонд</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По состоянию на 1 апреля 2011 года жилищный фонд города составляет 977,6 тыс. кв.м. Обеспеченность жильем в среднем на 1 жителя составляет 16,6 кв. м. Доля благоустроенного жилищного фонда составляет - 100 %.</w:t>
      </w:r>
      <w:r w:rsidRPr="00AE1625">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составила 93,06 тыс.кв.м., из них 16,05 тыс.кв. м признаны аварийными. За отчетный период снесено 0,033 тыс. кв. м. жилой площади (1 жилой дом).</w:t>
      </w:r>
      <w:r w:rsidRPr="00AE1625">
        <w:rPr>
          <w:rFonts w:ascii="Times New Roman" w:eastAsia="Times New Roman" w:hAnsi="Times New Roman" w:cs="Times New Roman"/>
          <w:sz w:val="24"/>
          <w:szCs w:val="24"/>
          <w:lang w:eastAsia="ru-RU"/>
        </w:rPr>
        <w:br/>
        <w:t xml:space="preserve">     На рынке коммунальных услуг действуют 29 предприятий, из них 28 частной формы </w:t>
      </w:r>
      <w:r w:rsidRPr="00AE1625">
        <w:rPr>
          <w:rFonts w:ascii="Times New Roman" w:eastAsia="Times New Roman" w:hAnsi="Times New Roman" w:cs="Times New Roman"/>
          <w:sz w:val="24"/>
          <w:szCs w:val="24"/>
          <w:lang w:eastAsia="ru-RU"/>
        </w:rPr>
        <w:lastRenderedPageBreak/>
        <w:t xml:space="preserve">собственности. В городе созданы и функционируют 37 товариществ собственников жилья (95 многоквартирных домов) и 12 управляющих компаний частной формы собственности, которые осуществляют свою деятельность на основе выбора «собственником» способа управления. </w:t>
      </w:r>
      <w:r w:rsidRPr="00AE1625">
        <w:rPr>
          <w:rFonts w:ascii="Times New Roman" w:eastAsia="Times New Roman" w:hAnsi="Times New Roman" w:cs="Times New Roman"/>
          <w:sz w:val="24"/>
          <w:szCs w:val="24"/>
          <w:lang w:eastAsia="ru-RU"/>
        </w:rPr>
        <w:br/>
        <w:t>     В первом квартале 2011 года в рамках реализации адресной программы по капитальному ремонту многоквартирных домов города Когалыма на 2010-2011 годы подрядным организациям перечислено 38,3 млн. руб. на закупку материалов и оборудования. Начаты работы по капитальному ремонту многоквартирных домов:</w:t>
      </w:r>
      <w:r w:rsidRPr="00AE1625">
        <w:rPr>
          <w:rFonts w:ascii="Times New Roman" w:eastAsia="Times New Roman" w:hAnsi="Times New Roman" w:cs="Times New Roman"/>
          <w:sz w:val="24"/>
          <w:szCs w:val="24"/>
          <w:lang w:eastAsia="ru-RU"/>
        </w:rPr>
        <w:br/>
        <w:t>     - замена 9 лифтов в 4 многоквартирных домах;</w:t>
      </w:r>
      <w:r w:rsidRPr="00AE1625">
        <w:rPr>
          <w:rFonts w:ascii="Times New Roman" w:eastAsia="Times New Roman" w:hAnsi="Times New Roman" w:cs="Times New Roman"/>
          <w:sz w:val="24"/>
          <w:szCs w:val="24"/>
          <w:lang w:eastAsia="ru-RU"/>
        </w:rPr>
        <w:br/>
        <w:t>     - ремонт внутридомовых инженерных сетей электроснабжения в 3 многоквартирных домах.</w:t>
      </w:r>
      <w:r w:rsidRPr="00AE1625">
        <w:rPr>
          <w:rFonts w:ascii="Times New Roman" w:eastAsia="Times New Roman" w:hAnsi="Times New Roman" w:cs="Times New Roman"/>
          <w:sz w:val="24"/>
          <w:szCs w:val="24"/>
          <w:lang w:eastAsia="ru-RU"/>
        </w:rPr>
        <w:br/>
        <w:t>     По городу Когалыму на 2011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строительства, энергетики и жилищно-коммунального комплекса Ханты - Мансийского автономного округа - Югры в размере 117,72 руб.</w:t>
      </w:r>
      <w:r w:rsidRPr="00AE1625">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1 квартал 2011 года составляет 101,92 руб.</w:t>
      </w:r>
      <w:r w:rsidRPr="00AE1625">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97,7% стоимости услуг.</w:t>
      </w:r>
      <w:r w:rsidRPr="00AE1625">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5,2%. </w:t>
      </w:r>
      <w:r w:rsidRPr="00AE1625">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жилищно-коммунального комплекса за 1 квартал 2011 года составляет 402,81 рублей за 1 кв. м. общей площади жилья в месяц. Соотношение платежеспособной возможности и фактической стоимости услуг ЖКХ составляет 395,22%.</w:t>
      </w:r>
      <w:r w:rsidRPr="00AE1625">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1 квартал 2011 года составляет 91,3%.</w:t>
      </w:r>
      <w:r w:rsidRPr="00AE1625">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AE1625">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w:t>
      </w:r>
      <w:r w:rsidRPr="00AE1625">
        <w:rPr>
          <w:rFonts w:ascii="Times New Roman" w:eastAsia="Times New Roman" w:hAnsi="Times New Roman" w:cs="Times New Roman"/>
          <w:sz w:val="24"/>
          <w:szCs w:val="24"/>
          <w:lang w:eastAsia="ru-RU"/>
        </w:rPr>
        <w:br/>
        <w:t>     В целях реализации федерального закона №261-ФЗ « Об энергосбережении и о повышении энергетической эффективности» по состоянию на 01.04.2011 г. установлено 30641 счетчик холодной воды и горячей воды в 9 509 квартирах, из них в 1 квартале 2011 года установлено 6430 счетчиков.</w:t>
      </w:r>
      <w:r w:rsidRPr="00AE1625">
        <w:rPr>
          <w:rFonts w:ascii="Times New Roman" w:eastAsia="Times New Roman" w:hAnsi="Times New Roman" w:cs="Times New Roman"/>
          <w:sz w:val="24"/>
          <w:szCs w:val="24"/>
          <w:lang w:eastAsia="ru-RU"/>
        </w:rPr>
        <w:br/>
        <w:t>     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Водоснабжение</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lastRenderedPageBreak/>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124,3 км сетей водоснабжения. </w:t>
      </w:r>
      <w:r w:rsidRPr="00AE1625">
        <w:rPr>
          <w:rFonts w:ascii="Times New Roman" w:eastAsia="Times New Roman" w:hAnsi="Times New Roman" w:cs="Times New Roman"/>
          <w:sz w:val="24"/>
          <w:szCs w:val="24"/>
          <w:lang w:eastAsia="ru-RU"/>
        </w:rPr>
        <w:br/>
        <w:t>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w:t>
      </w:r>
      <w:r w:rsidRPr="00AE1625">
        <w:rPr>
          <w:rFonts w:ascii="Times New Roman" w:eastAsia="Times New Roman" w:hAnsi="Times New Roman" w:cs="Times New Roman"/>
          <w:sz w:val="24"/>
          <w:szCs w:val="24"/>
          <w:lang w:eastAsia="ru-RU"/>
        </w:rPr>
        <w:br/>
        <w:t>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Охват населения централизованной услугой водоснабжения составляет 100%.</w:t>
      </w:r>
      <w:r w:rsidRPr="00AE1625">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м3/час. Протяженность канализационных сетей составляет 103,2 км.</w:t>
      </w:r>
      <w:r w:rsidRPr="00AE1625">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r w:rsidRPr="00AE1625">
        <w:rPr>
          <w:rFonts w:ascii="Times New Roman" w:eastAsia="Times New Roman" w:hAnsi="Times New Roman" w:cs="Times New Roman"/>
          <w:sz w:val="24"/>
          <w:szCs w:val="24"/>
          <w:lang w:eastAsia="ru-RU"/>
        </w:rPr>
        <w:br/>
        <w:t xml:space="preserve">     Услуги по водоснабжению и водоотведению оказывает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 на период до 31 декабря 2023 года </w:t>
      </w:r>
      <w:r w:rsidRPr="00AE1625">
        <w:rPr>
          <w:rFonts w:ascii="Times New Roman" w:eastAsia="Times New Roman" w:hAnsi="Times New Roman" w:cs="Times New Roman"/>
          <w:sz w:val="24"/>
          <w:szCs w:val="24"/>
          <w:lang w:eastAsia="ru-RU"/>
        </w:rPr>
        <w:br/>
        <w:t>     За 1 квартал 2011 года потребителям реализовано 1195,9 тыс. м3 воды, проведена очистка 1193 тыс. м3 сточных вод.</w:t>
      </w:r>
      <w:r w:rsidRPr="00AE1625">
        <w:rPr>
          <w:rFonts w:ascii="Times New Roman" w:eastAsia="Times New Roman" w:hAnsi="Times New Roman" w:cs="Times New Roman"/>
          <w:sz w:val="24"/>
          <w:szCs w:val="24"/>
          <w:lang w:eastAsia="ru-RU"/>
        </w:rPr>
        <w:br/>
        <w:t>     В 1 квартале 2011 года в рамках программы по энергосбережению и повышению энергоэффективности на 2010-2014 годы предприятием выполнены мероприятия по автоматизации КОС-19000 м(3) и начаты работы по энергетическому обследованию объектов предприятия.</w:t>
      </w:r>
      <w:r w:rsidRPr="00AE1625">
        <w:rPr>
          <w:rFonts w:ascii="Times New Roman" w:eastAsia="Times New Roman" w:hAnsi="Times New Roman" w:cs="Times New Roman"/>
          <w:sz w:val="24"/>
          <w:szCs w:val="24"/>
          <w:lang w:eastAsia="ru-RU"/>
        </w:rPr>
        <w:br/>
        <w:t>     Аварии и технологические нарушения, повлекшие длительное отключение отсутствовали. ООО «Горводоканал» реализует инвестиционную программу по реконструкции, модернизации и развитию систем водоснабжения и водоотведения города Когалыма на 2009-2020 годы.</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i/>
          <w:iCs/>
          <w:sz w:val="24"/>
          <w:szCs w:val="24"/>
          <w:lang w:eastAsia="ru-RU"/>
        </w:rPr>
        <w:t>Теплоснабжение</w:t>
      </w:r>
      <w:r w:rsidRPr="00AE1625">
        <w:rPr>
          <w:rFonts w:ascii="Times New Roman" w:eastAsia="Times New Roman" w:hAnsi="Times New Roman" w:cs="Times New Roman"/>
          <w:sz w:val="24"/>
          <w:szCs w:val="24"/>
          <w:lang w:eastAsia="ru-RU"/>
        </w:rPr>
        <w:t xml:space="preserve">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 и 125,1 км тепловых сетей.</w:t>
      </w:r>
      <w:r w:rsidRPr="00AE1625">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AE1625">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AE1625">
        <w:rPr>
          <w:rFonts w:ascii="Times New Roman" w:eastAsia="Times New Roman" w:hAnsi="Times New Roman" w:cs="Times New Roman"/>
          <w:sz w:val="24"/>
          <w:szCs w:val="24"/>
          <w:lang w:eastAsia="ru-RU"/>
        </w:rPr>
        <w:br/>
        <w:t xml:space="preserve">     Особое внимание уделяется реконструкции тепловых сетей города, так как уровень их износа составляет более 40%. Все магистрали города заменены на трубы в </w:t>
      </w:r>
      <w:r w:rsidRPr="00AE1625">
        <w:rPr>
          <w:rFonts w:ascii="Times New Roman" w:eastAsia="Times New Roman" w:hAnsi="Times New Roman" w:cs="Times New Roman"/>
          <w:sz w:val="24"/>
          <w:szCs w:val="24"/>
          <w:lang w:eastAsia="ru-RU"/>
        </w:rPr>
        <w:lastRenderedPageBreak/>
        <w:t>пенополиуритановой-изоляции.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Всего в жилых домах установлено 171 АИТП.</w:t>
      </w:r>
      <w:r w:rsidRPr="00AE1625">
        <w:rPr>
          <w:rFonts w:ascii="Times New Roman" w:eastAsia="Times New Roman" w:hAnsi="Times New Roman" w:cs="Times New Roman"/>
          <w:sz w:val="24"/>
          <w:szCs w:val="24"/>
          <w:lang w:eastAsia="ru-RU"/>
        </w:rPr>
        <w:br/>
        <w:t xml:space="preserve">     Услуги по теплоснабжению города в основном оказывает ООО «Городские Теплосети» в соответствии с концессионным соглашением в отношении имущественного комплекса «Система теплоснабжения города Когалыма» с ООО «Городские Теплосети» на период до 31 декабря 2023 года. </w:t>
      </w:r>
      <w:r w:rsidRPr="00AE1625">
        <w:rPr>
          <w:rFonts w:ascii="Times New Roman" w:eastAsia="Times New Roman" w:hAnsi="Times New Roman" w:cs="Times New Roman"/>
          <w:sz w:val="24"/>
          <w:szCs w:val="24"/>
          <w:lang w:eastAsia="ru-RU"/>
        </w:rPr>
        <w:br/>
        <w:t>     Объем реализации тепловой энергии за 1 квартал 2011 года составил 208790  Гкал, что на 4137 Гкал ниже плановой. Снижение реализации тепловой энергии связано с установкой приборов учета тепловой энергии на вводах и расчетах по показаниям приборов учета.</w:t>
      </w:r>
      <w:r w:rsidRPr="00AE1625">
        <w:rPr>
          <w:rFonts w:ascii="Times New Roman" w:eastAsia="Times New Roman" w:hAnsi="Times New Roman" w:cs="Times New Roman"/>
          <w:sz w:val="24"/>
          <w:szCs w:val="24"/>
          <w:lang w:eastAsia="ru-RU"/>
        </w:rPr>
        <w:br/>
        <w:t>     Основной задачей предприятия в 1 квартале 2011 года являлось обеспечение надежного теплоснабжения города и формирование мероприятий по подготовке к осенне-зимнему периоду 2010-2011 годов. Аварии и технологические нарушения, повлекшие длительное отключение, отсутствовали.</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Газоснабжение</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AE1625">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AE1625">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За 1 квартал 2011 года осуществлена транспортировка 34,2 млн. м(3) газа. </w:t>
      </w:r>
      <w:r w:rsidRPr="00AE1625">
        <w:rPr>
          <w:rFonts w:ascii="Times New Roman" w:eastAsia="Times New Roman" w:hAnsi="Times New Roman" w:cs="Times New Roman"/>
          <w:sz w:val="24"/>
          <w:szCs w:val="24"/>
          <w:lang w:eastAsia="ru-RU"/>
        </w:rPr>
        <w:br/>
        <w:t>     В рамках реализации комплексной программы технического перевооружения, реконструкции и капитального ремонта газопроводов и сооружений на них в 1 квартале 2011 года выполнено техническое перевооружение участка газопровода  через железную дорогу на 88 км перегона Камеральный - Когалым.</w:t>
      </w:r>
      <w:r w:rsidRPr="00AE1625">
        <w:rPr>
          <w:rFonts w:ascii="Times New Roman" w:eastAsia="Times New Roman" w:hAnsi="Times New Roman" w:cs="Times New Roman"/>
          <w:sz w:val="24"/>
          <w:szCs w:val="24"/>
          <w:lang w:eastAsia="ru-RU"/>
        </w:rPr>
        <w:br/>
        <w:t>     Основной задачей предприятия в 1 квартале 2011 года являлось надежное газоснабжение котельных и жилых домов индивидуальной застройки города. Аварии и технологические нарушения отсутствовали.</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Электроснабжение</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Электроснабжение города Когалыма на нужды наружного освещения в 2011 году осуществляет ОАО «ЮТЭК», как гарантирующий поставщик.</w:t>
      </w:r>
      <w:r w:rsidRPr="00AE1625">
        <w:rPr>
          <w:rFonts w:ascii="Times New Roman" w:eastAsia="Times New Roman" w:hAnsi="Times New Roman" w:cs="Times New Roman"/>
          <w:sz w:val="24"/>
          <w:szCs w:val="24"/>
          <w:lang w:eastAsia="ru-RU"/>
        </w:rPr>
        <w:br/>
        <w:t xml:space="preserve">     Головные источники электроснабжения города ПС-110/35/10 кВ “Южная” и ПС-110/35/10 кВ “Инга”. Электроснабжение объектов городского хозяйства выполняется от </w:t>
      </w:r>
      <w:r w:rsidRPr="00AE1625">
        <w:rPr>
          <w:rFonts w:ascii="Times New Roman" w:eastAsia="Times New Roman" w:hAnsi="Times New Roman" w:cs="Times New Roman"/>
          <w:sz w:val="24"/>
          <w:szCs w:val="24"/>
          <w:lang w:eastAsia="ru-RU"/>
        </w:rPr>
        <w:lastRenderedPageBreak/>
        <w:t>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AE1625">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AE1625">
        <w:rPr>
          <w:rFonts w:ascii="Times New Roman" w:eastAsia="Times New Roman" w:hAnsi="Times New Roman" w:cs="Times New Roman"/>
          <w:sz w:val="24"/>
          <w:szCs w:val="24"/>
          <w:lang w:eastAsia="ru-RU"/>
        </w:rPr>
        <w:br/>
        <w:t>     За 1 квартал 2011 года ОАО «ЮТЭК» реализовало электрической энергии всего 46,216 млн. кВт/час.</w:t>
      </w:r>
      <w:r w:rsidRPr="00AE1625">
        <w:rPr>
          <w:rFonts w:ascii="Times New Roman" w:eastAsia="Times New Roman" w:hAnsi="Times New Roman" w:cs="Times New Roman"/>
          <w:sz w:val="24"/>
          <w:szCs w:val="24"/>
          <w:lang w:eastAsia="ru-RU"/>
        </w:rPr>
        <w:br/>
        <w:t xml:space="preserve">     Оказание услуг по техническому обслуживанию и ремонту электрооборудования наружного освещения и светофорных объектов города осуществляет ОАО «ЮТЭК-Когалым» на основании муниципальных контрактов по результатам аукционов. </w:t>
      </w:r>
      <w:r w:rsidRPr="00AE1625">
        <w:rPr>
          <w:rFonts w:ascii="Times New Roman" w:eastAsia="Times New Roman" w:hAnsi="Times New Roman" w:cs="Times New Roman"/>
          <w:sz w:val="24"/>
          <w:szCs w:val="24"/>
          <w:lang w:eastAsia="ru-RU"/>
        </w:rPr>
        <w:br/>
        <w:t>     Ограничений в снабжении электроэнергией не установлено. Аварии и технологические нарушения, повлекшие длительное отключение, в 1 квартале 2011 года отсутствовали. С 2009 года разработана и реализуется инвестиционная программа развития электросетевого хозяйства коммунальной энергетики ХМАО - Югры  по ОАО "ЮТЭК-Когалым" на 2009 - 2011 годы.</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i/>
          <w:iCs/>
          <w:sz w:val="24"/>
          <w:szCs w:val="24"/>
          <w:lang w:eastAsia="ru-RU"/>
        </w:rPr>
        <w:t>Дорожное хозяйство</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AE1625">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AE1625">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AE1625">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заключённых по результатам проведённых аукционов.</w:t>
      </w:r>
      <w:r w:rsidRPr="00AE1625">
        <w:rPr>
          <w:rFonts w:ascii="Times New Roman" w:eastAsia="Times New Roman" w:hAnsi="Times New Roman" w:cs="Times New Roman"/>
          <w:sz w:val="24"/>
          <w:szCs w:val="24"/>
          <w:lang w:eastAsia="ru-RU"/>
        </w:rPr>
        <w:br/>
        <w:t>     В зимний период основной задачей предприятий была очистка автодорог и микрорайново города от снега, всего вывезено 25148 м(3) снега.</w:t>
      </w:r>
      <w:r w:rsidRPr="00AE1625">
        <w:rPr>
          <w:rFonts w:ascii="Times New Roman" w:eastAsia="Times New Roman" w:hAnsi="Times New Roman" w:cs="Times New Roman"/>
          <w:sz w:val="24"/>
          <w:szCs w:val="24"/>
          <w:lang w:eastAsia="ru-RU"/>
        </w:rPr>
        <w:br/>
        <w:t>     Вывоз твёрдых бытовых отходов (ТБО) осуществляет ООО «Экотехсервис» на основании договоров с организациями, управляющими жилищным фондом города и др.</w:t>
      </w:r>
      <w:r w:rsidRPr="00AE1625">
        <w:rPr>
          <w:rFonts w:ascii="Times New Roman" w:eastAsia="Times New Roman" w:hAnsi="Times New Roman" w:cs="Times New Roman"/>
          <w:sz w:val="24"/>
          <w:szCs w:val="24"/>
          <w:lang w:eastAsia="ru-RU"/>
        </w:rPr>
        <w:br/>
        <w:t>     За 1 квартал 2011 года по городу утилизировано 33,76 м(3) ТБО и производственных отходов.</w:t>
      </w:r>
      <w:r w:rsidRPr="00AE1625">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AE1625">
        <w:rPr>
          <w:rFonts w:ascii="Times New Roman" w:eastAsia="Times New Roman" w:hAnsi="Times New Roman" w:cs="Times New Roman"/>
          <w:sz w:val="24"/>
          <w:szCs w:val="24"/>
          <w:lang w:eastAsia="ru-RU"/>
        </w:rPr>
        <w:br/>
        <w:t>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Общественный транспорт</w:t>
      </w:r>
      <w:r w:rsidRPr="00AE1625">
        <w:rPr>
          <w:rFonts w:ascii="Times New Roman" w:eastAsia="Times New Roman" w:hAnsi="Times New Roman" w:cs="Times New Roman"/>
          <w:sz w:val="24"/>
          <w:szCs w:val="24"/>
          <w:lang w:eastAsia="ru-RU"/>
        </w:rPr>
        <w:t xml:space="preserve">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lastRenderedPageBreak/>
        <w:t>     </w:t>
      </w:r>
      <w:r w:rsidRPr="00AE1625">
        <w:rPr>
          <w:rFonts w:ascii="Times New Roman" w:eastAsia="Times New Roman" w:hAnsi="Times New Roman" w:cs="Times New Roman"/>
          <w:sz w:val="24"/>
          <w:szCs w:val="24"/>
          <w:lang w:eastAsia="ru-RU"/>
        </w:rPr>
        <w:br/>
        <w:t>     В 1 квартале 2011 года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договору о предоставлении субсидии, заключенному по итогам проведенного конкурсного отбора.</w:t>
      </w:r>
      <w:r w:rsidRPr="00AE1625">
        <w:rPr>
          <w:rFonts w:ascii="Times New Roman" w:eastAsia="Times New Roman" w:hAnsi="Times New Roman" w:cs="Times New Roman"/>
          <w:sz w:val="24"/>
          <w:szCs w:val="24"/>
          <w:lang w:eastAsia="ru-RU"/>
        </w:rPr>
        <w:br/>
        <w:t xml:space="preserve">     В 1 квартале 2011 года была продолжена работа 8 регулярных маршрутов и за отчетный период выполнено 30090 рейсов, пассажирооборот составил 1,2 млн. пас. км. </w:t>
      </w:r>
      <w:r w:rsidRPr="00AE1625">
        <w:rPr>
          <w:rFonts w:ascii="Times New Roman" w:eastAsia="Times New Roman" w:hAnsi="Times New Roman" w:cs="Times New Roman"/>
          <w:sz w:val="24"/>
          <w:szCs w:val="24"/>
          <w:lang w:eastAsia="ru-RU"/>
        </w:rPr>
        <w:br/>
        <w:t>     Управлением ЖКХ ведется постоянный мониторинг работы пассажирского транспорта с целью улучшения качества предоставления муниципальной услуги.</w:t>
      </w:r>
      <w:r w:rsidRPr="00AE1625">
        <w:rPr>
          <w:rFonts w:ascii="Times New Roman" w:eastAsia="Times New Roman" w:hAnsi="Times New Roman" w:cs="Times New Roman"/>
          <w:sz w:val="24"/>
          <w:szCs w:val="24"/>
          <w:lang w:eastAsia="ru-RU"/>
        </w:rPr>
        <w:br/>
        <w:t>     Первоочередными задачами на 2011 год является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w:t>
      </w:r>
      <w:r w:rsidRPr="00AE1625">
        <w:rPr>
          <w:rFonts w:ascii="Times New Roman" w:eastAsia="Times New Roman" w:hAnsi="Times New Roman" w:cs="Times New Roman"/>
          <w:sz w:val="24"/>
          <w:szCs w:val="24"/>
          <w:lang w:eastAsia="ru-RU"/>
        </w:rPr>
        <w:br/>
        <w:t>     </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i/>
          <w:iCs/>
          <w:sz w:val="24"/>
          <w:szCs w:val="24"/>
          <w:lang w:eastAsia="ru-RU"/>
        </w:rPr>
        <w:t>Работа жилищно-коммунального комплекса</w:t>
      </w:r>
      <w:r w:rsidRPr="00AE1625">
        <w:rPr>
          <w:rFonts w:ascii="Times New Roman" w:eastAsia="Times New Roman" w:hAnsi="Times New Roman" w:cs="Times New Roman"/>
          <w:sz w:val="24"/>
          <w:szCs w:val="24"/>
          <w:lang w:eastAsia="ru-RU"/>
        </w:rPr>
        <w:t xml:space="preserve"> </w:t>
      </w:r>
    </w:p>
    <w:p w:rsidR="00AE1625" w:rsidRPr="00AE1625" w:rsidRDefault="00AE1625" w:rsidP="00AE1625">
      <w:pPr>
        <w:spacing w:before="100" w:beforeAutospacing="1" w:after="24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AE1625">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AE1625">
        <w:rPr>
          <w:rFonts w:ascii="Times New Roman" w:eastAsia="Times New Roman" w:hAnsi="Times New Roman" w:cs="Times New Roman"/>
          <w:sz w:val="24"/>
          <w:szCs w:val="24"/>
          <w:lang w:eastAsia="ru-RU"/>
        </w:rPr>
        <w:br/>
        <w:t xml:space="preserve">     В 1 квартале 2011 года отмечалась стабильная работа предприятий жилищно-коммунального комплекса, аварий и перерывов в снабжении энергоресурсами не было. </w:t>
      </w:r>
      <w:r w:rsidRPr="00AE1625">
        <w:rPr>
          <w:rFonts w:ascii="Times New Roman" w:eastAsia="Times New Roman" w:hAnsi="Times New Roman" w:cs="Times New Roman"/>
          <w:sz w:val="24"/>
          <w:szCs w:val="24"/>
          <w:lang w:eastAsia="ru-RU"/>
        </w:rPr>
        <w:br/>
        <w:t xml:space="preserve">     Своевременная и качественная подготовка к осенне-зимнему периоду 2010-2011 годов обеспечила надежное и безаварийное тепло-, водо- и электроснабжение потребителей города в зимний период. </w:t>
      </w:r>
      <w:r w:rsidRPr="00AE1625">
        <w:rPr>
          <w:rFonts w:ascii="Times New Roman" w:eastAsia="Times New Roman" w:hAnsi="Times New Roman" w:cs="Times New Roman"/>
          <w:sz w:val="24"/>
          <w:szCs w:val="24"/>
          <w:lang w:eastAsia="ru-RU"/>
        </w:rPr>
        <w:br/>
        <w:t xml:space="preserve">     В 2011 году продолжилась реализация инвестиционных программ ООО «Городские Теплосети» и ООО «Горводоканал» по реконструкции, модернизации и развитию систем теплоснабжения, водоснабжения и водоотведения города Когалыма на 2009-2020 годы. </w:t>
      </w:r>
      <w:r w:rsidRPr="00AE1625">
        <w:rPr>
          <w:rFonts w:ascii="Times New Roman" w:eastAsia="Times New Roman" w:hAnsi="Times New Roman" w:cs="Times New Roman"/>
          <w:sz w:val="24"/>
          <w:szCs w:val="24"/>
          <w:lang w:eastAsia="ru-RU"/>
        </w:rPr>
        <w:br/>
        <w:t>     Основными направлениями работы предприятий  в 1 квартале 2011 года было:</w:t>
      </w:r>
      <w:r w:rsidRPr="00AE1625">
        <w:rPr>
          <w:rFonts w:ascii="Times New Roman" w:eastAsia="Times New Roman" w:hAnsi="Times New Roman" w:cs="Times New Roman"/>
          <w:sz w:val="24"/>
          <w:szCs w:val="24"/>
          <w:lang w:eastAsia="ru-RU"/>
        </w:rPr>
        <w:br/>
        <w:t>     - уточнение объемов работ;</w:t>
      </w:r>
      <w:r w:rsidRPr="00AE1625">
        <w:rPr>
          <w:rFonts w:ascii="Times New Roman" w:eastAsia="Times New Roman" w:hAnsi="Times New Roman" w:cs="Times New Roman"/>
          <w:sz w:val="24"/>
          <w:szCs w:val="24"/>
          <w:lang w:eastAsia="ru-RU"/>
        </w:rPr>
        <w:br/>
        <w:t>- отбор поставщиком материалов, оборудования и услуг;</w:t>
      </w:r>
      <w:r w:rsidRPr="00AE1625">
        <w:rPr>
          <w:rFonts w:ascii="Times New Roman" w:eastAsia="Times New Roman" w:hAnsi="Times New Roman" w:cs="Times New Roman"/>
          <w:sz w:val="24"/>
          <w:szCs w:val="24"/>
          <w:lang w:eastAsia="ru-RU"/>
        </w:rPr>
        <w:br/>
        <w:t>- заключение договоров на поставку материалов, оборудования и выполнение проектных работ.</w:t>
      </w:r>
      <w:r w:rsidRPr="00AE1625">
        <w:rPr>
          <w:rFonts w:ascii="Times New Roman" w:eastAsia="Times New Roman" w:hAnsi="Times New Roman" w:cs="Times New Roman"/>
          <w:sz w:val="24"/>
          <w:szCs w:val="24"/>
          <w:lang w:eastAsia="ru-RU"/>
        </w:rPr>
        <w:br/>
        <w:t>В 1 квартале 2011 года проведены работы по отбору подрядных организаций, заключены договора на поставку оборудования, материалов, выполнение проектных и строительно-монтажных работ по реконструкции тепловых сетей города с установкой АИТП. В связи с особенностями, связанными с производством и реализацией тепловой энергии, работы, запланированные на 2011 год, будут выполняться после окончания отопительного сезона.</w:t>
      </w:r>
      <w:r w:rsidRPr="00AE1625">
        <w:rPr>
          <w:rFonts w:ascii="Times New Roman" w:eastAsia="Times New Roman" w:hAnsi="Times New Roman" w:cs="Times New Roman"/>
          <w:sz w:val="24"/>
          <w:szCs w:val="24"/>
          <w:lang w:eastAsia="ru-RU"/>
        </w:rPr>
        <w:br/>
        <w:t>Все вышеперечисленные направления отрабатывались ООО «Городские Теплосети» совместно с МБУ «Управление капитального строительства г.Когалыма», управлением ЖКХ и утверждались на заседаниях координационного совета по реализации инвестиционных проектов.</w:t>
      </w:r>
      <w:r w:rsidRPr="00AE1625">
        <w:rPr>
          <w:rFonts w:ascii="Times New Roman" w:eastAsia="Times New Roman" w:hAnsi="Times New Roman" w:cs="Times New Roman"/>
          <w:sz w:val="24"/>
          <w:szCs w:val="24"/>
          <w:lang w:eastAsia="ru-RU"/>
        </w:rPr>
        <w:br/>
        <w:t>Объем финансирования программы в области энергосбережения и повышения энергетической эффективности на 2010-2014 годы ООО «Городские Теплосети» на 2011 год составляет 105,88 млн. руб.</w:t>
      </w:r>
      <w:r w:rsidRPr="00AE1625">
        <w:rPr>
          <w:rFonts w:ascii="Times New Roman" w:eastAsia="Times New Roman" w:hAnsi="Times New Roman" w:cs="Times New Roman"/>
          <w:sz w:val="24"/>
          <w:szCs w:val="24"/>
          <w:lang w:eastAsia="ru-RU"/>
        </w:rPr>
        <w:br/>
        <w:t xml:space="preserve">По состоянию на 01.04.2011 года предприятие выполнило мероприятия программы по внедрению технического учета электроэнергии, заменено 8 узлов учета на сумму 0,5 млн. руб. </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lastRenderedPageBreak/>
        <w:t>В 2011 году, согласно «Инвестиционной программы ООО «Водоканал» по реконструкции, модернизации и развитию систем водоснабжения и водоотведения города Когалыма на 2010-2020 гг.» планируется выполнение работ на общую сумму 48,818 млн. руб.</w:t>
      </w:r>
      <w:r w:rsidRPr="00AE1625">
        <w:rPr>
          <w:rFonts w:ascii="Times New Roman" w:eastAsia="Times New Roman" w:hAnsi="Times New Roman" w:cs="Times New Roman"/>
          <w:sz w:val="24"/>
          <w:szCs w:val="24"/>
          <w:lang w:eastAsia="ru-RU"/>
        </w:rPr>
        <w:br/>
        <w:t>В первом квартале 2011 года общее выполнение ООО «Горводоканал» на сумму 3,0 млн. руб.</w:t>
      </w:r>
      <w:r w:rsidRPr="00AE1625">
        <w:rPr>
          <w:rFonts w:ascii="Times New Roman" w:eastAsia="Times New Roman" w:hAnsi="Times New Roman" w:cs="Times New Roman"/>
          <w:sz w:val="24"/>
          <w:szCs w:val="24"/>
          <w:lang w:eastAsia="ru-RU"/>
        </w:rPr>
        <w:br/>
        <w:t>     Выполнено:</w:t>
      </w:r>
      <w:r w:rsidRPr="00AE1625">
        <w:rPr>
          <w:rFonts w:ascii="Times New Roman" w:eastAsia="Times New Roman" w:hAnsi="Times New Roman" w:cs="Times New Roman"/>
          <w:sz w:val="24"/>
          <w:szCs w:val="24"/>
          <w:lang w:eastAsia="ru-RU"/>
        </w:rPr>
        <w:br/>
        <w:t>     - обновление комплексной информационной системы на базе ИГС;</w:t>
      </w:r>
      <w:r w:rsidRPr="00AE1625">
        <w:rPr>
          <w:rFonts w:ascii="Times New Roman" w:eastAsia="Times New Roman" w:hAnsi="Times New Roman" w:cs="Times New Roman"/>
          <w:sz w:val="24"/>
          <w:szCs w:val="24"/>
          <w:lang w:eastAsia="ru-RU"/>
        </w:rPr>
        <w:br/>
        <w:t>     - проведение энергоаудита объектов водоснабжения;</w:t>
      </w:r>
      <w:r w:rsidRPr="00AE1625">
        <w:rPr>
          <w:rFonts w:ascii="Times New Roman" w:eastAsia="Times New Roman" w:hAnsi="Times New Roman" w:cs="Times New Roman"/>
          <w:sz w:val="24"/>
          <w:szCs w:val="24"/>
          <w:lang w:eastAsia="ru-RU"/>
        </w:rPr>
        <w:br/>
        <w:t>     - строительство ограждения санитарной зоны по периметру ВОС;</w:t>
      </w:r>
      <w:r w:rsidRPr="00AE1625">
        <w:rPr>
          <w:rFonts w:ascii="Times New Roman" w:eastAsia="Times New Roman" w:hAnsi="Times New Roman" w:cs="Times New Roman"/>
          <w:sz w:val="24"/>
          <w:szCs w:val="24"/>
          <w:lang w:eastAsia="ru-RU"/>
        </w:rPr>
        <w:br/>
        <w:t>     - работы по реконструкции освещения 3-х зданий базы КОС;</w:t>
      </w:r>
      <w:r w:rsidRPr="00AE1625">
        <w:rPr>
          <w:rFonts w:ascii="Times New Roman" w:eastAsia="Times New Roman" w:hAnsi="Times New Roman" w:cs="Times New Roman"/>
          <w:sz w:val="24"/>
          <w:szCs w:val="24"/>
          <w:lang w:eastAsia="ru-RU"/>
        </w:rPr>
        <w:br/>
        <w:t>     - реконструкция, модернизация, обновление основных средств объектов КОС;</w:t>
      </w:r>
      <w:r w:rsidRPr="00AE1625">
        <w:rPr>
          <w:rFonts w:ascii="Times New Roman" w:eastAsia="Times New Roman" w:hAnsi="Times New Roman" w:cs="Times New Roman"/>
          <w:sz w:val="24"/>
          <w:szCs w:val="24"/>
          <w:lang w:eastAsia="ru-RU"/>
        </w:rPr>
        <w:br/>
        <w:t>     - проведение энергоаудита объектов КОС.</w:t>
      </w:r>
      <w:r w:rsidRPr="00AE1625">
        <w:rPr>
          <w:rFonts w:ascii="Times New Roman" w:eastAsia="Times New Roman" w:hAnsi="Times New Roman" w:cs="Times New Roman"/>
          <w:sz w:val="24"/>
          <w:szCs w:val="24"/>
          <w:lang w:eastAsia="ru-RU"/>
        </w:rPr>
        <w:br/>
        <w:t>     Муниципальная адресная программа по проведению капитального ремонта многоквартирных домов города Когалыма на 2010-2011 годы, которая выполняется при финансовой поддержке из средств Фонда содействия реформированию ЖКХ (согласно федеральному закону № 185-ФЗ от 21.07.2007г) и вошла в окружную программу. Общий объем финансирования программы составляет 95,04 млн. руб.</w:t>
      </w:r>
      <w:r w:rsidRPr="00AE1625">
        <w:rPr>
          <w:rFonts w:ascii="Times New Roman" w:eastAsia="Times New Roman" w:hAnsi="Times New Roman" w:cs="Times New Roman"/>
          <w:sz w:val="24"/>
          <w:szCs w:val="24"/>
          <w:lang w:eastAsia="ru-RU"/>
        </w:rPr>
        <w:br/>
        <w:t>     Состоялся конкурсный отбор подрядных организаций на право заключения договоров подряда на проведение капитального ремонта семи многоквартирных жилых домов. Подрядным организациям перечислен аванс на закупку материалов и оборудования. Подрядные организации начали работы:</w:t>
      </w:r>
      <w:r w:rsidRPr="00AE1625">
        <w:rPr>
          <w:rFonts w:ascii="Times New Roman" w:eastAsia="Times New Roman" w:hAnsi="Times New Roman" w:cs="Times New Roman"/>
          <w:sz w:val="24"/>
          <w:szCs w:val="24"/>
          <w:lang w:eastAsia="ru-RU"/>
        </w:rPr>
        <w:br/>
        <w:t>     - по замене 9 лифтов в 4 домах;</w:t>
      </w:r>
      <w:r w:rsidRPr="00AE1625">
        <w:rPr>
          <w:rFonts w:ascii="Times New Roman" w:eastAsia="Times New Roman" w:hAnsi="Times New Roman" w:cs="Times New Roman"/>
          <w:sz w:val="24"/>
          <w:szCs w:val="24"/>
          <w:lang w:eastAsia="ru-RU"/>
        </w:rPr>
        <w:br/>
        <w:t>     - по ремонту инженерных сетей электроснабжения в 3 многоквартирных домах.</w:t>
      </w:r>
      <w:r w:rsidRPr="00AE1625">
        <w:rPr>
          <w:rFonts w:ascii="Times New Roman" w:eastAsia="Times New Roman" w:hAnsi="Times New Roman" w:cs="Times New Roman"/>
          <w:sz w:val="24"/>
          <w:szCs w:val="24"/>
          <w:lang w:eastAsia="ru-RU"/>
        </w:rPr>
        <w:br/>
        <w:t>     В соответствии с распоряжением Правительства Ханты - Мансийского автономного округа - Югры от 13.10.2009 № 439-рп «О сводном докладе Ханты - 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автономного округа за 2008 год» и индивидуальным рекомендациям необходимо выполнить следующее:</w:t>
      </w:r>
      <w:r w:rsidRPr="00AE1625">
        <w:rPr>
          <w:rFonts w:ascii="Times New Roman" w:eastAsia="Times New Roman" w:hAnsi="Times New Roman" w:cs="Times New Roman"/>
          <w:sz w:val="24"/>
          <w:szCs w:val="24"/>
          <w:lang w:eastAsia="ru-RU"/>
        </w:rPr>
        <w:br/>
        <w:t>1. В соответствии с требованиями Федерального закона № 210-ФЗ «Об основах регулирования тарифов организаций коммунального комплекса» разработать программу комплексного развития систем коммунальной инфраструктуры города Когалыма:</w:t>
      </w:r>
      <w:r w:rsidRPr="00AE1625">
        <w:rPr>
          <w:rFonts w:ascii="Times New Roman" w:eastAsia="Times New Roman" w:hAnsi="Times New Roman" w:cs="Times New Roman"/>
          <w:sz w:val="24"/>
          <w:szCs w:val="24"/>
          <w:lang w:eastAsia="ru-RU"/>
        </w:rPr>
        <w:br/>
        <w:t>- решением Думы города от 28.04.2010 № 482 - ГД утверждена Программа комплексного развития систем коммунальной инфраструктуры города Когалыма на 2010-2020 годы.</w:t>
      </w:r>
      <w:r w:rsidRPr="00AE1625">
        <w:rPr>
          <w:rFonts w:ascii="Times New Roman" w:eastAsia="Times New Roman" w:hAnsi="Times New Roman" w:cs="Times New Roman"/>
          <w:sz w:val="24"/>
          <w:szCs w:val="24"/>
          <w:lang w:eastAsia="ru-RU"/>
        </w:rPr>
        <w:br/>
        <w:t>Мероприятия Программы выполняются в рамках целевых муниципальных программных, инвестиционных программ предприятий и окружных программ.</w:t>
      </w:r>
      <w:r w:rsidRPr="00AE1625">
        <w:rPr>
          <w:rFonts w:ascii="Times New Roman" w:eastAsia="Times New Roman" w:hAnsi="Times New Roman" w:cs="Times New Roman"/>
          <w:sz w:val="24"/>
          <w:szCs w:val="24"/>
          <w:lang w:eastAsia="ru-RU"/>
        </w:rPr>
        <w:br/>
        <w:t>2. В соответствии с требованиями Федерального закона от 23 ноября 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срок до 1 августа 2010 года разработать и утвердить муниципальную программу по энергосбережению:</w:t>
      </w:r>
      <w:r w:rsidRPr="00AE1625">
        <w:rPr>
          <w:rFonts w:ascii="Times New Roman" w:eastAsia="Times New Roman" w:hAnsi="Times New Roman" w:cs="Times New Roman"/>
          <w:sz w:val="24"/>
          <w:szCs w:val="24"/>
          <w:lang w:eastAsia="ru-RU"/>
        </w:rPr>
        <w:br/>
        <w:t>     - постановлением Администрации города Когалыма от 30.07.2010 №1618 утверждена долгосрочная муниципальная программа «Энергосбережение и повышение энергетической эффективности в городе Когалыме на 2010-2014 годы»;</w:t>
      </w:r>
      <w:r w:rsidRPr="00AE1625">
        <w:rPr>
          <w:rFonts w:ascii="Times New Roman" w:eastAsia="Times New Roman" w:hAnsi="Times New Roman" w:cs="Times New Roman"/>
          <w:sz w:val="24"/>
          <w:szCs w:val="24"/>
          <w:lang w:eastAsia="ru-RU"/>
        </w:rPr>
        <w:br/>
        <w:t>     - разработаны и утверждены Программы всех муниципальных учреждений, муниципальных предприятий и энерго-, ресурсоснабжающих предприятий;</w:t>
      </w:r>
      <w:r w:rsidRPr="00AE1625">
        <w:rPr>
          <w:rFonts w:ascii="Times New Roman" w:eastAsia="Times New Roman" w:hAnsi="Times New Roman" w:cs="Times New Roman"/>
          <w:sz w:val="24"/>
          <w:szCs w:val="24"/>
          <w:lang w:eastAsia="ru-RU"/>
        </w:rPr>
        <w:br/>
        <w:t>     - в 1 квартале предприятиями и учреждениями города выполнены мероприятия программ на сумму 1,911 млн. руб.;</w:t>
      </w:r>
      <w:r w:rsidRPr="00AE1625">
        <w:rPr>
          <w:rFonts w:ascii="Times New Roman" w:eastAsia="Times New Roman" w:hAnsi="Times New Roman" w:cs="Times New Roman"/>
          <w:sz w:val="24"/>
          <w:szCs w:val="24"/>
          <w:lang w:eastAsia="ru-RU"/>
        </w:rPr>
        <w:br/>
        <w:t>     - в 1 квартале проведено энергетическое обследование 9 зданий бюджетных учреждений, начато энергетическое обследование объектов ООО «Горводоканал»;</w:t>
      </w:r>
      <w:r w:rsidRPr="00AE1625">
        <w:rPr>
          <w:rFonts w:ascii="Times New Roman" w:eastAsia="Times New Roman" w:hAnsi="Times New Roman" w:cs="Times New Roman"/>
          <w:sz w:val="24"/>
          <w:szCs w:val="24"/>
          <w:lang w:eastAsia="ru-RU"/>
        </w:rPr>
        <w:br/>
        <w:t xml:space="preserve">     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которая осуществляется  через средства массовой </w:t>
      </w:r>
      <w:r w:rsidRPr="00AE1625">
        <w:rPr>
          <w:rFonts w:ascii="Times New Roman" w:eastAsia="Times New Roman" w:hAnsi="Times New Roman" w:cs="Times New Roman"/>
          <w:sz w:val="24"/>
          <w:szCs w:val="24"/>
          <w:lang w:eastAsia="ru-RU"/>
        </w:rPr>
        <w:lastRenderedPageBreak/>
        <w:t>информации. В газете «Когалымский вестник» регулярно печатаются статьи и информация об организациях, занимающихся установкой приборов учета, которая также распространяется на счетах-квитанциях по оплате за коммунальные услуги и досках объявлений в жилых домах. Ежемесячно проводятся прямые эфиры по телеканалу «Инфосервис».</w:t>
      </w:r>
      <w:r w:rsidRPr="00AE1625">
        <w:rPr>
          <w:rFonts w:ascii="Times New Roman" w:eastAsia="Times New Roman" w:hAnsi="Times New Roman" w:cs="Times New Roman"/>
          <w:sz w:val="24"/>
          <w:szCs w:val="24"/>
          <w:lang w:eastAsia="ru-RU"/>
        </w:rPr>
        <w:br/>
        <w:t>      С целью повышения качества предоставления услуг ЖКХ постоянно ведется работа по анализу общественного мнения, ежегодно разрабатываются мероприятия по повышения качества предоставления услуг ЖКХ. В ООО «ЕРИЦ» организован сбор письменных пожеланий и предложений граждан по вопросам ЖКУ, а также открыт сайт, где освещаются все новости законодательства, изменения в системе оплате за ЖКУ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ЖКХ размещена на городском сайте, работает виртуальная приемная Главы города и общественная приемная.</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ТРУД И ЗАНЯТОСТЬ</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За январь - март 2011 года, по предварительным данным, среднесписочная численность работников уменьшилась по сравнению с аналогичным периодом 2010 года на 5,2% и составила 41,6 тыс. человек. Преобладающая часть занятого населения (около 91,7%) сосредоточена в организациях, не относящихся к субъектам малого предпринимательства.</w:t>
      </w:r>
      <w:r w:rsidRPr="00AE1625">
        <w:rPr>
          <w:rFonts w:ascii="Times New Roman" w:eastAsia="Times New Roman" w:hAnsi="Times New Roman" w:cs="Times New Roman"/>
          <w:sz w:val="24"/>
          <w:szCs w:val="24"/>
          <w:lang w:eastAsia="ru-RU"/>
        </w:rPr>
        <w:br/>
        <w:t>     В отраслевом разрезе структура занятых в организациях, не относящимся к субъектам малого предпринимательства характеризуется наибольшей долей работающих в базовых отраслях (добыча нефти и газа, строительство и транспорт), на их долю приходится более 52,1 % работающих. В январе - феврале 2011 года в сфере образования было занято 2,0 тыс. человек, здравоохранения и предоставления социальных услуг - 1,6 тыс. человек, в деятельности по организации отдыха, культуры и спорта - 0,6 тыс. человек, или 5,2%, 4,2% и 1,6% от общей численности работающих в организациях, не относящимся к субъектам малого предпринимательства.</w:t>
      </w:r>
      <w:r w:rsidRPr="00AE1625">
        <w:rPr>
          <w:rFonts w:ascii="Times New Roman" w:eastAsia="Times New Roman" w:hAnsi="Times New Roman" w:cs="Times New Roman"/>
          <w:sz w:val="24"/>
          <w:szCs w:val="24"/>
          <w:lang w:eastAsia="ru-RU"/>
        </w:rPr>
        <w:br/>
        <w:t>     В течение января - марта 2011 года по вопросам трудоустройства в Когалымский центр занятости населения обратилось 1 102 человека, что на 11,3% ниже, чем за аналогичный период 2010 года. Количество безработных, состоящих на регистрационном учете, по состоянию на 1 апреля 2011 года уменьшилось по сравнению с соответствующим периодом прошлого года на 16,7% и составило 334 человека.</w:t>
      </w:r>
      <w:r w:rsidRPr="00AE1625">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0,11 процентных пункта с 0,88 % на 1 апреля 2010 года до 0,77 % на 1 апреля 2011 года от экономически активного населения.</w:t>
      </w: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lastRenderedPageBreak/>
        <w:br/>
      </w:r>
      <w:r w:rsidRPr="00AE1625">
        <w:rPr>
          <w:rFonts w:ascii="Times New Roman" w:eastAsia="Times New Roman" w:hAnsi="Times New Roman" w:cs="Times New Roman"/>
          <w:noProof/>
          <w:sz w:val="24"/>
          <w:szCs w:val="24"/>
          <w:lang w:eastAsia="ru-RU"/>
        </w:rPr>
        <w:drawing>
          <wp:inline distT="0" distB="0" distL="0" distR="0">
            <wp:extent cx="5966460" cy="2743200"/>
            <wp:effectExtent l="0" t="0" r="0" b="0"/>
            <wp:docPr id="3" name="Рисунок 3" descr="http://old.admkogalym.ru/SetPict.gif?nd=458204147&amp;nh=0&amp;pictid=0100000017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4147&amp;nh=0&amp;pictid=0100000017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43200"/>
                    </a:xfrm>
                    <a:prstGeom prst="rect">
                      <a:avLst/>
                    </a:prstGeom>
                    <a:noFill/>
                    <a:ln>
                      <a:noFill/>
                    </a:ln>
                  </pic:spPr>
                </pic:pic>
              </a:graphicData>
            </a:graphic>
          </wp:inline>
        </w:drawing>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Анализируя структуру численности зарегистрированных безработных за январь - март 2011 года, можно отметить следующее:</w:t>
      </w:r>
      <w:r w:rsidRPr="00AE1625">
        <w:rPr>
          <w:rFonts w:ascii="Times New Roman" w:eastAsia="Times New Roman" w:hAnsi="Times New Roman" w:cs="Times New Roman"/>
          <w:sz w:val="24"/>
          <w:szCs w:val="24"/>
          <w:lang w:eastAsia="ru-RU"/>
        </w:rPr>
        <w:br/>
        <w:t>     - уменьшилась доля безработных, имеющих высшее и среднее профессиональное образование, с 50,4% до 47,9%. В то же время доля безработных, имеющих начальное профессиональное, среднее и неполное среднее образование, увеличилась с 48,9% до 51,8%;</w:t>
      </w:r>
      <w:r w:rsidRPr="00AE1625">
        <w:rPr>
          <w:rFonts w:ascii="Times New Roman" w:eastAsia="Times New Roman" w:hAnsi="Times New Roman" w:cs="Times New Roman"/>
          <w:sz w:val="24"/>
          <w:szCs w:val="24"/>
          <w:lang w:eastAsia="ru-RU"/>
        </w:rPr>
        <w:br/>
        <w:t>     - в численности зарегистрированных безработных граждан преобладает люди в возрасте с 30 лет до предпенсионного возраста (за два года до наступления пенсионного возраста), по сравнению с соответствующим периодом прошлого года их доля уменьшилась с 53,6 % до 53,3 %; доля молодежи с 16 до 29 лет уменьшилась с 45,6% до 45,2%; в то же время наблюдается увеличение доли безработных в предпенсионном возрасте (за 2 года до пенсии) с 0,7% до 1,5%.</w:t>
      </w:r>
      <w:r w:rsidRPr="00AE1625">
        <w:rPr>
          <w:rFonts w:ascii="Times New Roman" w:eastAsia="Times New Roman" w:hAnsi="Times New Roman" w:cs="Times New Roman"/>
          <w:sz w:val="24"/>
          <w:szCs w:val="24"/>
          <w:lang w:eastAsia="ru-RU"/>
        </w:rPr>
        <w:br/>
        <w:t>     - доля безработных мужчин уменьшилась с 58,6% до 44,9% от общего числа безработных граждан, состоящих на регистрационном учете.</w:t>
      </w:r>
      <w:r w:rsidRPr="00AE1625">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«Содействие занятости населения на 2009 - 2011 годы».</w:t>
      </w:r>
      <w:r w:rsidRPr="00AE1625">
        <w:rPr>
          <w:rFonts w:ascii="Times New Roman" w:eastAsia="Times New Roman" w:hAnsi="Times New Roman" w:cs="Times New Roman"/>
          <w:sz w:val="24"/>
          <w:szCs w:val="24"/>
          <w:lang w:eastAsia="ru-RU"/>
        </w:rPr>
        <w:br/>
        <w:t>     Кроме этого наш город, как и все территории округа, принимает непосредственное участие в реализации Программ Ханты-Мансийского автономного округа-Югры.</w:t>
      </w:r>
      <w:r w:rsidRPr="00AE1625">
        <w:rPr>
          <w:rFonts w:ascii="Times New Roman" w:eastAsia="Times New Roman" w:hAnsi="Times New Roman" w:cs="Times New Roman"/>
          <w:sz w:val="24"/>
          <w:szCs w:val="24"/>
          <w:lang w:eastAsia="ru-RU"/>
        </w:rPr>
        <w:br/>
        <w:t xml:space="preserve">     По программе Ханты-Мансийского автономного округа-Югры «Содействие занятости населения на 2011-2013 годы». </w:t>
      </w:r>
      <w:r w:rsidRPr="00AE1625">
        <w:rPr>
          <w:rFonts w:ascii="Times New Roman" w:eastAsia="Times New Roman" w:hAnsi="Times New Roman" w:cs="Times New Roman"/>
          <w:sz w:val="24"/>
          <w:szCs w:val="24"/>
          <w:lang w:eastAsia="ru-RU"/>
        </w:rPr>
        <w:br/>
        <w:t>     1. Заключено 43 договора на трудоустройство 248 человек, трудоустроено 161 человек, в том числе:</w:t>
      </w:r>
      <w:r w:rsidRPr="00AE1625">
        <w:rPr>
          <w:rFonts w:ascii="Times New Roman" w:eastAsia="Times New Roman" w:hAnsi="Times New Roman" w:cs="Times New Roman"/>
          <w:sz w:val="24"/>
          <w:szCs w:val="24"/>
          <w:lang w:eastAsia="ru-RU"/>
        </w:rPr>
        <w:br/>
        <w:t>     - из числа безработных и ищущих работу граждан (на общественные работы) - 130 человек;</w:t>
      </w:r>
      <w:r w:rsidRPr="00AE1625">
        <w:rPr>
          <w:rFonts w:ascii="Times New Roman" w:eastAsia="Times New Roman" w:hAnsi="Times New Roman" w:cs="Times New Roman"/>
          <w:sz w:val="24"/>
          <w:szCs w:val="24"/>
          <w:lang w:eastAsia="ru-RU"/>
        </w:rPr>
        <w:br/>
        <w:t>     - из числа испытывающих трудности в поиске работы - 12 человек;</w:t>
      </w:r>
      <w:r w:rsidRPr="00AE1625">
        <w:rPr>
          <w:rFonts w:ascii="Times New Roman" w:eastAsia="Times New Roman" w:hAnsi="Times New Roman" w:cs="Times New Roman"/>
          <w:sz w:val="24"/>
          <w:szCs w:val="24"/>
          <w:lang w:eastAsia="ru-RU"/>
        </w:rPr>
        <w:br/>
        <w:t>     - из числа выпускников учебных заведений в возрасте до 25 лет - 19 человек;</w:t>
      </w:r>
      <w:r w:rsidRPr="00AE1625">
        <w:rPr>
          <w:rFonts w:ascii="Times New Roman" w:eastAsia="Times New Roman" w:hAnsi="Times New Roman" w:cs="Times New Roman"/>
          <w:sz w:val="24"/>
          <w:szCs w:val="24"/>
          <w:lang w:eastAsia="ru-RU"/>
        </w:rPr>
        <w:br/>
        <w:t>     2. По мероприятию программы «Содействие самозанятости безработных граждан и стимулирование создания дополнительных рабочих мест»:</w:t>
      </w:r>
      <w:r w:rsidRPr="00AE1625">
        <w:rPr>
          <w:rFonts w:ascii="Times New Roman" w:eastAsia="Times New Roman" w:hAnsi="Times New Roman" w:cs="Times New Roman"/>
          <w:sz w:val="24"/>
          <w:szCs w:val="24"/>
          <w:lang w:eastAsia="ru-RU"/>
        </w:rPr>
        <w:br/>
        <w:t>     - 63 чел. - предоставлена услуга по самозанятости;</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- 40 чел. обратилось за предоставлением субсидии, из них:</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- 16 чел.- открыли собственное дело и получили субсидию;</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lastRenderedPageBreak/>
        <w:t>- 9 чел. - трудоустроены на дополнительные рабочие места;</w:t>
      </w:r>
      <w:r w:rsidRPr="00AE1625">
        <w:rPr>
          <w:rFonts w:ascii="Times New Roman" w:eastAsia="Times New Roman" w:hAnsi="Times New Roman" w:cs="Times New Roman"/>
          <w:sz w:val="24"/>
          <w:szCs w:val="24"/>
          <w:lang w:eastAsia="ru-RU"/>
        </w:rPr>
        <w:br/>
        <w:t>- 6 чел. - регистрация в налоговой инспекции.</w:t>
      </w:r>
      <w:r w:rsidRPr="00AE1625">
        <w:rPr>
          <w:rFonts w:ascii="Times New Roman" w:eastAsia="Times New Roman" w:hAnsi="Times New Roman" w:cs="Times New Roman"/>
          <w:sz w:val="24"/>
          <w:szCs w:val="24"/>
          <w:lang w:eastAsia="ru-RU"/>
        </w:rPr>
        <w:br/>
        <w:t>     Порядок предоставления бюджетных средств (субсидии бюджета автономного округа) по Программе «О дополнительных мероприятиях, направленных на снижение напряженности на рынке труда Ханты-Мансийского автономного округа - Югры, в 2011 году» вступили в силу с 6 апреля 2011года. По данной программе определены планы на 2011 год для последующего выполнения:</w:t>
      </w:r>
      <w:r w:rsidRPr="00AE1625">
        <w:rPr>
          <w:rFonts w:ascii="Times New Roman" w:eastAsia="Times New Roman" w:hAnsi="Times New Roman" w:cs="Times New Roman"/>
          <w:sz w:val="24"/>
          <w:szCs w:val="24"/>
          <w:lang w:eastAsia="ru-RU"/>
        </w:rPr>
        <w:br/>
        <w:t>     1. Организация опережающего профессионального обучения и стажировки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План по данному направлению - 3 чел.</w:t>
      </w:r>
      <w:r w:rsidRPr="00AE1625">
        <w:rPr>
          <w:rFonts w:ascii="Times New Roman" w:eastAsia="Times New Roman" w:hAnsi="Times New Roman" w:cs="Times New Roman"/>
          <w:sz w:val="24"/>
          <w:szCs w:val="24"/>
          <w:lang w:eastAsia="ru-RU"/>
        </w:rPr>
        <w:br/>
        <w:t>     2. Организация опережающего профессионального обучения и стажировки женщин, работающих во вредных и тяжёлых условиях труда, с целью их вывода с вредного производства. План по данному направлению - 3 чел.</w:t>
      </w:r>
      <w:r w:rsidRPr="00AE1625">
        <w:rPr>
          <w:rFonts w:ascii="Times New Roman" w:eastAsia="Times New Roman" w:hAnsi="Times New Roman" w:cs="Times New Roman"/>
          <w:sz w:val="24"/>
          <w:szCs w:val="24"/>
          <w:lang w:eastAsia="ru-RU"/>
        </w:rPr>
        <w:br/>
        <w:t>     3. Организация профессиональной подготовки, переподготовки и повышения квалификации женщин, находящихся в отпуске по уходу за ребенком до трех лет, планирующих возвращение к трудовой деятельности. План по данному направлению - 7 чел.</w:t>
      </w:r>
      <w:r w:rsidRPr="00AE1625">
        <w:rPr>
          <w:rFonts w:ascii="Times New Roman" w:eastAsia="Times New Roman" w:hAnsi="Times New Roman" w:cs="Times New Roman"/>
          <w:sz w:val="24"/>
          <w:szCs w:val="24"/>
          <w:lang w:eastAsia="ru-RU"/>
        </w:rPr>
        <w:br/>
        <w:t>     4. Организация профессиональной переподготовки врачей в соответствии с программой Ханты-Мансийского автономного округа - Югры «Модернизация здравоохранения» на 2011-2012 годы». План по данному направлению - 7 чел.</w:t>
      </w:r>
      <w:r w:rsidRPr="00AE1625">
        <w:rPr>
          <w:rFonts w:ascii="Times New Roman" w:eastAsia="Times New Roman" w:hAnsi="Times New Roman" w:cs="Times New Roman"/>
          <w:sz w:val="24"/>
          <w:szCs w:val="24"/>
          <w:lang w:eastAsia="ru-RU"/>
        </w:rPr>
        <w:br/>
        <w:t>     5. Организация опережающего профессионального обучения и стажировки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 в 2011 году. План по данному направлению - 19 чел.</w:t>
      </w:r>
      <w:r w:rsidRPr="00AE1625">
        <w:rPr>
          <w:rFonts w:ascii="Times New Roman" w:eastAsia="Times New Roman" w:hAnsi="Times New Roman" w:cs="Times New Roman"/>
          <w:sz w:val="24"/>
          <w:szCs w:val="24"/>
          <w:lang w:eastAsia="ru-RU"/>
        </w:rPr>
        <w:br/>
        <w:t>     6. Организация стажировки выпускников образовательных учреждений в целях приобретения ими опыта работы. План по данному направлению - 58 чел.</w:t>
      </w:r>
      <w:r w:rsidRPr="00AE1625">
        <w:rPr>
          <w:rFonts w:ascii="Times New Roman" w:eastAsia="Times New Roman" w:hAnsi="Times New Roman" w:cs="Times New Roman"/>
          <w:sz w:val="24"/>
          <w:szCs w:val="24"/>
          <w:lang w:eastAsia="ru-RU"/>
        </w:rPr>
        <w:br/>
        <w:t>     7. Содействие трудоустройству незанятых инвалидов. План по данному направлению - 12 чел.</w:t>
      </w:r>
      <w:r w:rsidRPr="00AE1625">
        <w:rPr>
          <w:rFonts w:ascii="Times New Roman" w:eastAsia="Times New Roman" w:hAnsi="Times New Roman" w:cs="Times New Roman"/>
          <w:sz w:val="24"/>
          <w:szCs w:val="24"/>
          <w:lang w:eastAsia="ru-RU"/>
        </w:rPr>
        <w:br/>
        <w:t>     8. Содействие трудоустройству родителей, воспитывающих детей-инвалидов, многодетных родителей. План по данному направлению - 13 чел.</w:t>
      </w:r>
      <w:r w:rsidRPr="00AE1625">
        <w:rPr>
          <w:rFonts w:ascii="Times New Roman" w:eastAsia="Times New Roman" w:hAnsi="Times New Roman" w:cs="Times New Roman"/>
          <w:sz w:val="24"/>
          <w:szCs w:val="24"/>
          <w:lang w:eastAsia="ru-RU"/>
        </w:rPr>
        <w:br/>
        <w:t>     9.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План по данному направлению - 50 чел.</w:t>
      </w:r>
      <w:r w:rsidRPr="00AE1625">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AE1625">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увеличилась на 30,2% по сравнению с 1 апреля 2010 года и составила на 1 апреля 2011 года 504 человека. Из них заявленная потребность в рабочих профессиях составила 53% от общей численности вакансий.</w:t>
      </w:r>
      <w:r w:rsidRPr="00AE1625">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Когалымском центре занятости населения, в расчете на одну заявленную вакансию) уменьшился с 1,8 на 1 апреля 2010 года до 1,1 на 1 апреля 2011 года.</w:t>
      </w:r>
      <w:r w:rsidRPr="00AE1625">
        <w:rPr>
          <w:rFonts w:ascii="Times New Roman" w:eastAsia="Times New Roman" w:hAnsi="Times New Roman" w:cs="Times New Roman"/>
          <w:sz w:val="24"/>
          <w:szCs w:val="24"/>
          <w:lang w:eastAsia="ru-RU"/>
        </w:rPr>
        <w:br/>
        <w:t xml:space="preserve">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безработных граждан. За отчетный период 2011 года 46 человек из числа безработных граждан приступили    к профессиональному обучению по направлению органов службы занятости, что выше показателя прошлого года на 35% или на 12 чел. (на 1 апреля 2010 года - 34человека). </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lastRenderedPageBreak/>
        <w:t>     Одним из значимых для безработных граждан направлений активной политики занятости населения является организация оплачиваемых общественных работ. В отчетном периоде Когалымским центром занятости населения на общественные работы было трудоустроено 130 человек.</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 xml:space="preserve">УРОВЕНЬ ЖИЗНИ НАСЕЛЕНИЯ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В первом квартале 2011 года среднемесячные денежные доходы на 1 жителя по предварительной оценке сложились в размере 33 730 рублей (в первом квартале 2010 года - 34 559 рублей).</w:t>
      </w:r>
      <w:r w:rsidRPr="00AE1625">
        <w:rPr>
          <w:rFonts w:ascii="Times New Roman" w:eastAsia="Times New Roman" w:hAnsi="Times New Roman" w:cs="Times New Roman"/>
          <w:sz w:val="24"/>
          <w:szCs w:val="24"/>
          <w:lang w:eastAsia="ru-RU"/>
        </w:rPr>
        <w:br/>
        <w:t>     Реальные располагаемые денежные доходы населения составили 90,6% к соответствующему уровню прошлого года.</w:t>
      </w:r>
      <w:r w:rsidRPr="00AE1625">
        <w:rPr>
          <w:rFonts w:ascii="Times New Roman" w:eastAsia="Times New Roman" w:hAnsi="Times New Roman" w:cs="Times New Roman"/>
          <w:sz w:val="24"/>
          <w:szCs w:val="24"/>
          <w:lang w:eastAsia="ru-RU"/>
        </w:rPr>
        <w:br/>
        <w:t>     Среднемесячная начисленная заработная плата по организациям, не относящимся к субъектам малого предпринимательства в январе - марте 2011 года по предварительным данным составила 43 356 рублей и по сравнению с аналогичным периодом 2010 года уменьшилась на 1,3%. Реальная величина заработной платы (скорректированная на инфляцию) за январь - март 2011 года относительно января -марта 2010 года уменьшилась на 8,4 %.</w:t>
      </w:r>
      <w:r w:rsidRPr="00AE1625">
        <w:rPr>
          <w:rFonts w:ascii="Times New Roman" w:eastAsia="Times New Roman" w:hAnsi="Times New Roman" w:cs="Times New Roman"/>
          <w:sz w:val="24"/>
          <w:szCs w:val="24"/>
          <w:lang w:eastAsia="ru-RU"/>
        </w:rPr>
        <w:br/>
        <w:t>     Дифференциация заработной платы между различными видами экономической  деятельности в январе - феврале 2011 года не претерпела значительных структурных изменений по сравнению с соответствующим периодом прошлого года и остаётся высокой. По прежнему лидерами по уровню заработной платы остаются предприятия, осуществляющие добычу полезных ископаемых. Наиболее низкий уровень среднемесячной заработной платы в текстильном и швейном производстве.</w:t>
      </w:r>
      <w:r w:rsidRPr="00AE1625">
        <w:rPr>
          <w:rFonts w:ascii="Times New Roman" w:eastAsia="Times New Roman" w:hAnsi="Times New Roman" w:cs="Times New Roman"/>
          <w:sz w:val="24"/>
          <w:szCs w:val="24"/>
          <w:lang w:eastAsia="ru-RU"/>
        </w:rPr>
        <w:br/>
        <w:t>     Уровень среднемесячной начисленной заработной платы работников здравоохранения и предоставления социальных услуг в январе - декабре 2010 года составил к её уровню в отраслях промышленного производства 53,9 %, работников образования - 47,5 %, работников деятельности по организации отдыха и развлечения, культуры и спорта - 44,9 % (в январе -марте 2010 года - соответственно 57,8 %; 53,3 % и 44,3 %).</w:t>
      </w:r>
      <w:r w:rsidRPr="00AE1625">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отдела статистики просроченной задолженности по выплате заработной платы.</w:t>
      </w:r>
      <w:r w:rsidRPr="00AE1625">
        <w:rPr>
          <w:rFonts w:ascii="Times New Roman" w:eastAsia="Times New Roman" w:hAnsi="Times New Roman" w:cs="Times New Roman"/>
          <w:sz w:val="24"/>
          <w:szCs w:val="24"/>
          <w:lang w:eastAsia="ru-RU"/>
        </w:rPr>
        <w:br/>
        <w:t>     Средний размер государственной пенсии по состоянию на 1 апреля 2011 года в городе Когалыме сложился в размере 12 859,72 рублей, что на 9,1% выше аналогичного периода прошлого года.</w:t>
      </w:r>
      <w:r w:rsidRPr="00AE1625">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конец 1 квартала 2011 года 13 214,7 рублей, что выше соответствующего периода 2010 года на 9,2% и составляет 184,1% к величине прожиточного минимума для пенсионера (на 1 апреля 2010 года -  175,3%).</w:t>
      </w:r>
      <w:r w:rsidRPr="00AE1625">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10 380 человек или 17,7% от общей численности постоянного населения города, увеличившись на 7,4% по сравнению с аналогичным периодом 2010 года.</w:t>
      </w:r>
      <w:r w:rsidRPr="00AE1625">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01.04.2010 года и на 01.04.2011 года сложились следующим образом:</w:t>
      </w:r>
      <w:r w:rsidRPr="00AE1625">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669"/>
        <w:gridCol w:w="1128"/>
        <w:gridCol w:w="1008"/>
        <w:gridCol w:w="846"/>
        <w:gridCol w:w="1008"/>
        <w:gridCol w:w="1072"/>
        <w:gridCol w:w="861"/>
      </w:tblGrid>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lastRenderedPageBreak/>
              <w:t xml:space="preserve">Показатель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Всего пенсионеров, человек </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Темп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Темп роста, %</w:t>
            </w:r>
          </w:p>
        </w:tc>
      </w:tr>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after="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на</w:t>
            </w:r>
            <w:r w:rsidRPr="00AE1625">
              <w:rPr>
                <w:rFonts w:ascii="Times New Roman" w:eastAsia="Times New Roman" w:hAnsi="Times New Roman" w:cs="Times New Roman"/>
                <w:sz w:val="24"/>
                <w:szCs w:val="24"/>
                <w:lang w:eastAsia="ru-RU"/>
              </w:rPr>
              <w:br/>
              <w:t>01.04.10.</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на</w:t>
            </w:r>
            <w:r w:rsidRPr="00AE1625">
              <w:rPr>
                <w:rFonts w:ascii="Times New Roman" w:eastAsia="Times New Roman" w:hAnsi="Times New Roman" w:cs="Times New Roman"/>
                <w:sz w:val="24"/>
                <w:szCs w:val="24"/>
                <w:lang w:eastAsia="ru-RU"/>
              </w:rPr>
              <w:br/>
              <w:t>1.04.11.</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after="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на</w:t>
            </w:r>
            <w:r w:rsidRPr="00AE1625">
              <w:rPr>
                <w:rFonts w:ascii="Times New Roman" w:eastAsia="Times New Roman" w:hAnsi="Times New Roman" w:cs="Times New Roman"/>
                <w:sz w:val="24"/>
                <w:szCs w:val="24"/>
                <w:lang w:eastAsia="ru-RU"/>
              </w:rPr>
              <w:br/>
              <w:t>1.04.10.</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на</w:t>
            </w:r>
            <w:r w:rsidRPr="00AE1625">
              <w:rPr>
                <w:rFonts w:ascii="Times New Roman" w:eastAsia="Times New Roman" w:hAnsi="Times New Roman" w:cs="Times New Roman"/>
                <w:sz w:val="24"/>
                <w:szCs w:val="24"/>
                <w:lang w:eastAsia="ru-RU"/>
              </w:rPr>
              <w:br/>
              <w:t>1.04.11.</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after="0"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p>
        </w:tc>
      </w:tr>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Всего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9 663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10 380 </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107,4 </w:t>
            </w:r>
          </w:p>
        </w:tc>
        <w:tc>
          <w:tcPr>
            <w:tcW w:w="5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11 788,8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12 859,72 </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109,1 </w:t>
            </w:r>
          </w:p>
        </w:tc>
      </w:tr>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по старости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8 297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9 010 </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108,6 </w:t>
            </w:r>
          </w:p>
        </w:tc>
        <w:tc>
          <w:tcPr>
            <w:tcW w:w="5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12 588,2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13 650,08 </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108,4 </w:t>
            </w:r>
          </w:p>
        </w:tc>
      </w:tr>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по инвалидности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377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385 </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102,1 </w:t>
            </w:r>
          </w:p>
        </w:tc>
        <w:tc>
          <w:tcPr>
            <w:tcW w:w="5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9 274,1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9 898,93 </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106,7 </w:t>
            </w:r>
          </w:p>
        </w:tc>
      </w:tr>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по случаю потери кормильца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495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444 </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89,7 </w:t>
            </w:r>
          </w:p>
        </w:tc>
        <w:tc>
          <w:tcPr>
            <w:tcW w:w="5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5 409,1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6 140,37 </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113,5 </w:t>
            </w:r>
          </w:p>
        </w:tc>
      </w:tr>
      <w:tr w:rsidR="00AE1625" w:rsidRPr="00AE1625" w:rsidTr="00AE1625">
        <w:trPr>
          <w:tblCellSpacing w:w="15" w:type="dxa"/>
        </w:trPr>
        <w:tc>
          <w:tcPr>
            <w:tcW w:w="1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494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541 </w:t>
            </w:r>
          </w:p>
        </w:tc>
        <w:tc>
          <w:tcPr>
            <w:tcW w:w="4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109,5 </w:t>
            </w:r>
          </w:p>
        </w:tc>
        <w:tc>
          <w:tcPr>
            <w:tcW w:w="5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6 674,4 </w:t>
            </w:r>
          </w:p>
        </w:tc>
        <w:tc>
          <w:tcPr>
            <w:tcW w:w="5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7 318,69 </w:t>
            </w:r>
          </w:p>
        </w:tc>
        <w:tc>
          <w:tcPr>
            <w:tcW w:w="4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109,7 </w:t>
            </w:r>
          </w:p>
        </w:tc>
      </w:tr>
    </w:tbl>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t>ФИНАНСЫ</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Финансы организаций</w:t>
      </w:r>
      <w:r w:rsidRPr="00AE1625">
        <w:rPr>
          <w:rFonts w:ascii="Times New Roman" w:eastAsia="Times New Roman" w:hAnsi="Times New Roman" w:cs="Times New Roman"/>
          <w:sz w:val="24"/>
          <w:szCs w:val="24"/>
          <w:lang w:eastAsia="ru-RU"/>
        </w:rPr>
        <w:t xml:space="preserve">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Согласно оценке по состоянию на 1 апреля 2011 года получен сальдированный финансовый результат в размере 23,6 млрд. рублей.</w:t>
      </w:r>
      <w:r w:rsidRPr="00AE1625">
        <w:rPr>
          <w:rFonts w:ascii="Times New Roman" w:eastAsia="Times New Roman" w:hAnsi="Times New Roman" w:cs="Times New Roman"/>
          <w:sz w:val="24"/>
          <w:szCs w:val="24"/>
          <w:lang w:eastAsia="ru-RU"/>
        </w:rPr>
        <w:br/>
        <w:t>     Сведения о финансовом состоянии крупных и средних предприятий, находящихся на территории муниципального образования город Когалым:</w:t>
      </w:r>
      <w:r w:rsidRPr="00AE1625">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3224"/>
        <w:gridCol w:w="1339"/>
        <w:gridCol w:w="1431"/>
        <w:gridCol w:w="1431"/>
        <w:gridCol w:w="1167"/>
      </w:tblGrid>
      <w:tr w:rsidR="00AE1625" w:rsidRPr="00AE1625" w:rsidTr="00AE1625">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Показатели </w:t>
            </w:r>
          </w:p>
        </w:tc>
        <w:tc>
          <w:tcPr>
            <w:tcW w:w="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Единица измерения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На 01.04.2010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На 01.04.2011*</w:t>
            </w:r>
          </w:p>
        </w:tc>
        <w:tc>
          <w:tcPr>
            <w:tcW w:w="6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Темп роста, %</w:t>
            </w:r>
          </w:p>
        </w:tc>
      </w:tr>
      <w:tr w:rsidR="00AE1625" w:rsidRPr="00AE1625" w:rsidTr="00AE1625">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Сумма прибыли </w:t>
            </w:r>
          </w:p>
        </w:tc>
        <w:tc>
          <w:tcPr>
            <w:tcW w:w="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21 727,6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23 900,4 </w:t>
            </w:r>
          </w:p>
        </w:tc>
        <w:tc>
          <w:tcPr>
            <w:tcW w:w="6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110,0 </w:t>
            </w:r>
          </w:p>
        </w:tc>
      </w:tr>
      <w:tr w:rsidR="00AE1625" w:rsidRPr="00AE1625" w:rsidTr="00AE1625">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Сумма убытка </w:t>
            </w:r>
          </w:p>
        </w:tc>
        <w:tc>
          <w:tcPr>
            <w:tcW w:w="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341,3 </w:t>
            </w:r>
          </w:p>
        </w:tc>
        <w:tc>
          <w:tcPr>
            <w:tcW w:w="75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267,4 </w:t>
            </w:r>
          </w:p>
        </w:tc>
        <w:tc>
          <w:tcPr>
            <w:tcW w:w="6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78,3 </w:t>
            </w:r>
          </w:p>
        </w:tc>
      </w:tr>
      <w:tr w:rsidR="00AE1625" w:rsidRPr="00AE1625" w:rsidTr="00AE1625">
        <w:trPr>
          <w:tblCellSpacing w:w="15" w:type="dxa"/>
        </w:trPr>
        <w:tc>
          <w:tcPr>
            <w:tcW w:w="1700" w:type="pct"/>
            <w:tcBorders>
              <w:top w:val="single" w:sz="6" w:space="0" w:color="000000"/>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Сальдированный финансовый результат </w:t>
            </w:r>
          </w:p>
        </w:tc>
        <w:tc>
          <w:tcPr>
            <w:tcW w:w="700" w:type="pct"/>
            <w:tcBorders>
              <w:top w:val="single" w:sz="6" w:space="0" w:color="000000"/>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single" w:sz="6" w:space="0" w:color="000000"/>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21 386,3 </w:t>
            </w:r>
          </w:p>
        </w:tc>
        <w:tc>
          <w:tcPr>
            <w:tcW w:w="750" w:type="pct"/>
            <w:tcBorders>
              <w:top w:val="single" w:sz="6" w:space="0" w:color="000000"/>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23 633,0 </w:t>
            </w:r>
          </w:p>
        </w:tc>
        <w:tc>
          <w:tcPr>
            <w:tcW w:w="600" w:type="pct"/>
            <w:tcBorders>
              <w:top w:val="single" w:sz="6" w:space="0" w:color="000000"/>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110,5 </w:t>
            </w:r>
          </w:p>
        </w:tc>
      </w:tr>
      <w:tr w:rsidR="00AE1625" w:rsidRPr="00AE1625" w:rsidTr="00AE1625">
        <w:trPr>
          <w:tblCellSpacing w:w="15" w:type="dxa"/>
        </w:trPr>
        <w:tc>
          <w:tcPr>
            <w:tcW w:w="17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Дебиторская задолженность предприятий и организаций </w:t>
            </w:r>
          </w:p>
        </w:tc>
        <w:tc>
          <w:tcPr>
            <w:tcW w:w="7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71 940,0 </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73 051,1 </w:t>
            </w:r>
          </w:p>
        </w:tc>
        <w:tc>
          <w:tcPr>
            <w:tcW w:w="6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101,5 </w:t>
            </w:r>
          </w:p>
        </w:tc>
      </w:tr>
      <w:tr w:rsidR="00AE1625" w:rsidRPr="00AE1625" w:rsidTr="00AE1625">
        <w:trPr>
          <w:tblCellSpacing w:w="15" w:type="dxa"/>
        </w:trPr>
        <w:tc>
          <w:tcPr>
            <w:tcW w:w="17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в т.ч. просроченная </w:t>
            </w:r>
          </w:p>
        </w:tc>
        <w:tc>
          <w:tcPr>
            <w:tcW w:w="7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8 728,3 </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7 742,4 </w:t>
            </w:r>
          </w:p>
        </w:tc>
        <w:tc>
          <w:tcPr>
            <w:tcW w:w="6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88,7 </w:t>
            </w:r>
          </w:p>
        </w:tc>
      </w:tr>
      <w:tr w:rsidR="00AE1625" w:rsidRPr="00AE1625" w:rsidTr="00AE1625">
        <w:trPr>
          <w:tblCellSpacing w:w="15" w:type="dxa"/>
        </w:trPr>
        <w:tc>
          <w:tcPr>
            <w:tcW w:w="17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Кредиторская задолженность предприятий и организаций </w:t>
            </w:r>
          </w:p>
        </w:tc>
        <w:tc>
          <w:tcPr>
            <w:tcW w:w="7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44 621,0 </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43 669,1 </w:t>
            </w:r>
          </w:p>
        </w:tc>
        <w:tc>
          <w:tcPr>
            <w:tcW w:w="6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97,9 </w:t>
            </w:r>
          </w:p>
        </w:tc>
      </w:tr>
      <w:tr w:rsidR="00AE1625" w:rsidRPr="00AE1625" w:rsidTr="00AE1625">
        <w:trPr>
          <w:tblCellSpacing w:w="15" w:type="dxa"/>
        </w:trPr>
        <w:tc>
          <w:tcPr>
            <w:tcW w:w="1700" w:type="pct"/>
            <w:tcBorders>
              <w:top w:val="nil"/>
              <w:left w:val="single" w:sz="6" w:space="0" w:color="000000"/>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lastRenderedPageBreak/>
              <w:t xml:space="preserve">в т.ч. просроченная </w:t>
            </w:r>
          </w:p>
        </w:tc>
        <w:tc>
          <w:tcPr>
            <w:tcW w:w="7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млн. руб.</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3 523,9 </w:t>
            </w:r>
          </w:p>
        </w:tc>
        <w:tc>
          <w:tcPr>
            <w:tcW w:w="75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3 961,5 </w:t>
            </w:r>
          </w:p>
        </w:tc>
        <w:tc>
          <w:tcPr>
            <w:tcW w:w="600" w:type="pct"/>
            <w:tcBorders>
              <w:top w:val="nil"/>
              <w:left w:val="nil"/>
              <w:bottom w:val="single" w:sz="6" w:space="0" w:color="000000"/>
              <w:right w:val="single" w:sz="6" w:space="0" w:color="000000"/>
            </w:tcBorders>
            <w:hideMark/>
          </w:tcPr>
          <w:p w:rsidR="00AE1625" w:rsidRPr="00AE1625" w:rsidRDefault="00AE1625" w:rsidP="00AE162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xml:space="preserve">112,4 </w:t>
            </w:r>
          </w:p>
        </w:tc>
      </w:tr>
    </w:tbl>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i/>
          <w:iCs/>
          <w:sz w:val="24"/>
          <w:szCs w:val="24"/>
          <w:lang w:eastAsia="ru-RU"/>
        </w:rPr>
        <w:t>*Оценка</w:t>
      </w:r>
      <w:r w:rsidRPr="00AE1625">
        <w:rPr>
          <w:rFonts w:ascii="Times New Roman" w:eastAsia="Times New Roman" w:hAnsi="Times New Roman" w:cs="Times New Roman"/>
          <w:sz w:val="24"/>
          <w:szCs w:val="24"/>
          <w:lang w:eastAsia="ru-RU"/>
        </w:rPr>
        <w:t xml:space="preserve"> </w:t>
      </w:r>
      <w:r w:rsidRPr="00AE1625">
        <w:rPr>
          <w:rFonts w:ascii="Times New Roman" w:eastAsia="Times New Roman" w:hAnsi="Times New Roman" w:cs="Times New Roman"/>
          <w:sz w:val="24"/>
          <w:szCs w:val="24"/>
          <w:lang w:eastAsia="ru-RU"/>
        </w:rPr>
        <w:br/>
        <w:t>     Объем прибыли крупных и средних предприятий за январь - март 2011 года по оценке составил 23,9 млрд. рублей, что составляет 110,0% прибыли, полученной за аналогичный период 2010 года. По итогам финансово-хозяйственной деятельности за январь - март 2011 года крупные и средние организации города получили убыток в размере 267,4 млн. рублей, что на 73,9 млн. рублей меньше убытков, полученных от финансово-хозяйственной деятельности за соответствующий период 2010 года.</w:t>
      </w:r>
      <w:r w:rsidRPr="00AE1625">
        <w:rPr>
          <w:rFonts w:ascii="Times New Roman" w:eastAsia="Times New Roman" w:hAnsi="Times New Roman" w:cs="Times New Roman"/>
          <w:sz w:val="24"/>
          <w:szCs w:val="24"/>
          <w:lang w:eastAsia="ru-RU"/>
        </w:rPr>
        <w:br/>
        <w:t>     Суммарная дебиторская задолженность организаций города увеличилась по сравнению с задолженностью аналогичного периода 2010 года на 1 111,1 млн. рублей, просроченная задолженность уменьшилась на 985,9 млн. рублей. Удельный вес просроченной задолженности в общем объеме дебиторской задолженности составляет 10,6 % (на 1 апреля 2010 года - 12,1%).</w:t>
      </w:r>
      <w:r w:rsidRPr="00AE1625">
        <w:rPr>
          <w:rFonts w:ascii="Times New Roman" w:eastAsia="Times New Roman" w:hAnsi="Times New Roman" w:cs="Times New Roman"/>
          <w:sz w:val="24"/>
          <w:szCs w:val="24"/>
          <w:lang w:eastAsia="ru-RU"/>
        </w:rPr>
        <w:br/>
        <w:t>     Сумма кредиторской задолженности на начало апреля 2011 года уменьшилась по сравнению с аналогичным периодом 2010 года на 951,9 млн. рублей или на 2,1%, рост просроченной кредиторской задолженности составил 437,6 млн. рублей или 12,4%.</w:t>
      </w:r>
    </w:p>
    <w:p w:rsidR="00AE1625" w:rsidRPr="00AE1625" w:rsidRDefault="00AE1625" w:rsidP="00AE16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ПОТРЕБИТЕЛЬСКИЙ РЫНОК</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i/>
          <w:iCs/>
          <w:sz w:val="24"/>
          <w:szCs w:val="24"/>
          <w:lang w:eastAsia="ru-RU"/>
        </w:rPr>
        <w:t>Торговля</w:t>
      </w:r>
      <w:r w:rsidRPr="00AE1625">
        <w:rPr>
          <w:rFonts w:ascii="Times New Roman" w:eastAsia="Times New Roman" w:hAnsi="Times New Roman" w:cs="Times New Roman"/>
          <w:sz w:val="24"/>
          <w:szCs w:val="24"/>
          <w:lang w:eastAsia="ru-RU"/>
        </w:rPr>
        <w:t xml:space="preserve"> </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В 1 квартале 2011 года, по предварительной оценке, отмечается рост динамики объёмов продаж. Как следствие, оборот розничной торговли в целом за январь - март 2011 года составил 102% в сопоставимых ценах к соответствующему периоду прошлого года.</w:t>
      </w:r>
      <w:r w:rsidRPr="00AE1625">
        <w:rPr>
          <w:rFonts w:ascii="Times New Roman" w:eastAsia="Times New Roman" w:hAnsi="Times New Roman" w:cs="Times New Roman"/>
          <w:sz w:val="24"/>
          <w:szCs w:val="24"/>
          <w:lang w:eastAsia="ru-RU"/>
        </w:rPr>
        <w:br/>
        <w:t>     В расчёте на одного жителя в отчётном периоде реализовано потребительских товаров на сумму 51,7 тыс. рублей (в январе - марте 2010 года - 47,4 тыс. рублей).</w:t>
      </w:r>
      <w:r w:rsidRPr="00AE1625">
        <w:rPr>
          <w:rFonts w:ascii="Times New Roman" w:eastAsia="Times New Roman" w:hAnsi="Times New Roman" w:cs="Times New Roman"/>
          <w:sz w:val="24"/>
          <w:szCs w:val="24"/>
          <w:lang w:eastAsia="ru-RU"/>
        </w:rPr>
        <w:br/>
        <w:t>     По состоянию на 1 января 2011 года на территории города функционирует 102 стационарных предприятий розничной торговли, торговой площадью 18,4 тыс. кв. метров, 25 мелкорозничных торговых предприятий, торговой площадью 0,29 тыс. кв. метров. Также в городе функционирует торговый комплекс «Миллениум», в который входят:</w:t>
      </w:r>
      <w:r w:rsidRPr="00AE1625">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238 торговых мест  торговой площадью 1,6 тыс. кв. метров; </w:t>
      </w:r>
      <w:r w:rsidRPr="00AE1625">
        <w:rPr>
          <w:rFonts w:ascii="Times New Roman" w:eastAsia="Times New Roman" w:hAnsi="Times New Roman" w:cs="Times New Roman"/>
          <w:sz w:val="24"/>
          <w:szCs w:val="24"/>
          <w:lang w:eastAsia="ru-RU"/>
        </w:rPr>
        <w:br/>
        <w:t xml:space="preserve">     - рынок, расположенный по адресу: ул. Южная, 7 на, 378 торговых мест торговой площадью 2,9 тыс. кв. метров. </w:t>
      </w:r>
      <w:r w:rsidRPr="00AE1625">
        <w:rPr>
          <w:rFonts w:ascii="Times New Roman" w:eastAsia="Times New Roman" w:hAnsi="Times New Roman" w:cs="Times New Roman"/>
          <w:sz w:val="24"/>
          <w:szCs w:val="24"/>
          <w:lang w:eastAsia="ru-RU"/>
        </w:rPr>
        <w:br/>
        <w:t>     Обеспеченность торговыми площадями составляет 62%.</w:t>
      </w:r>
      <w:r w:rsidRPr="00AE1625">
        <w:rPr>
          <w:rFonts w:ascii="Times New Roman" w:eastAsia="Times New Roman" w:hAnsi="Times New Roman" w:cs="Times New Roman"/>
          <w:sz w:val="24"/>
          <w:szCs w:val="24"/>
          <w:lang w:eastAsia="ru-RU"/>
        </w:rPr>
        <w:br/>
        <w:t xml:space="preserve">     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несколько сетевых магазинов федерального значения - это  салон «Л-Этуаль» и магазин «ДОМО», салон «Евросеть». </w:t>
      </w:r>
      <w:r w:rsidRPr="00AE1625">
        <w:rPr>
          <w:rFonts w:ascii="Times New Roman" w:eastAsia="Times New Roman" w:hAnsi="Times New Roman" w:cs="Times New Roman"/>
          <w:sz w:val="24"/>
          <w:szCs w:val="24"/>
          <w:lang w:eastAsia="ru-RU"/>
        </w:rPr>
        <w:br/>
        <w:t>     В городе Когалыме развита сеть магазинов с небольшой торговой площадью, так называемой «шаговой доступности» (25-75 кв. м торговой площади). Это очень удобно для покупателей, когда в 10 минутах ходьбы от дома можно приобрести товары первой необходимости. Но на сегодняшний день такие магазины расположены, как правило,  в приспособленных помещениях.</w:t>
      </w:r>
      <w:r w:rsidRPr="00AE1625">
        <w:rPr>
          <w:rFonts w:ascii="Times New Roman" w:eastAsia="Times New Roman" w:hAnsi="Times New Roman" w:cs="Times New Roman"/>
          <w:sz w:val="24"/>
          <w:szCs w:val="24"/>
          <w:lang w:eastAsia="ru-RU"/>
        </w:rPr>
        <w:br/>
        <w:t>     12 магазинов - это 11,8% от общего количества магазинов, расположены в подвальных помещениях. 66 магазина или 64,7% в капитальном приспособленном исполнении, 36 магазинов (35,3%)  в капитальном типовом.</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lastRenderedPageBreak/>
        <w:t xml:space="preserve">     За период 1 квартала 2011 года проведено 3 ярмарки, которые в основном носят тематический характер и их участниками являются предприятия города и иногородние предприниматели. </w:t>
      </w:r>
      <w:r w:rsidRPr="00AE1625">
        <w:rPr>
          <w:rFonts w:ascii="Times New Roman" w:eastAsia="Times New Roman" w:hAnsi="Times New Roman" w:cs="Times New Roman"/>
          <w:sz w:val="24"/>
          <w:szCs w:val="24"/>
          <w:lang w:eastAsia="ru-RU"/>
        </w:rPr>
        <w:br/>
        <w:t>     В городе действует 3 предприятия оптовой торговли площадью 7,8 тыс. кв. м, из них все предприятия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r w:rsidRPr="00AE1625">
        <w:rPr>
          <w:rFonts w:ascii="Times New Roman" w:eastAsia="Times New Roman" w:hAnsi="Times New Roman" w:cs="Times New Roman"/>
          <w:sz w:val="24"/>
          <w:szCs w:val="24"/>
          <w:lang w:eastAsia="ru-RU"/>
        </w:rPr>
        <w:br/>
        <w:t>     За отчетный период оборот общественного питания по предварительной оценке составил 91,1% в сопоставимых ценах к соответствующему периоду прошлого года.</w:t>
      </w:r>
      <w:r w:rsidRPr="00AE1625">
        <w:rPr>
          <w:rFonts w:ascii="Times New Roman" w:eastAsia="Times New Roman" w:hAnsi="Times New Roman" w:cs="Times New Roman"/>
          <w:sz w:val="24"/>
          <w:szCs w:val="24"/>
          <w:lang w:eastAsia="ru-RU"/>
        </w:rPr>
        <w:br/>
        <w:t>     В расчете на душу населения оборот общественного питания в городе составляет 6,2 тыс. рублей (в январе - марте 2010 года - 6,3 тыс. рублей).</w:t>
      </w:r>
      <w:r w:rsidRPr="00AE1625">
        <w:rPr>
          <w:rFonts w:ascii="Times New Roman" w:eastAsia="Times New Roman" w:hAnsi="Times New Roman" w:cs="Times New Roman"/>
          <w:sz w:val="24"/>
          <w:szCs w:val="24"/>
          <w:lang w:eastAsia="ru-RU"/>
        </w:rPr>
        <w:br/>
        <w:t>     По состоянию на 1 января 2011 год в городе осуществляли свою деятельность 113 предприятий общественного питания, общим количеством посадочных мест 5416. Из них 42 предприятий общедоступной сети на 1689  посадочных мест.</w:t>
      </w:r>
      <w:r w:rsidRPr="00AE1625">
        <w:rPr>
          <w:rFonts w:ascii="Times New Roman" w:eastAsia="Times New Roman" w:hAnsi="Times New Roman" w:cs="Times New Roman"/>
          <w:sz w:val="24"/>
          <w:szCs w:val="24"/>
          <w:lang w:eastAsia="ru-RU"/>
        </w:rPr>
        <w:br/>
        <w:t xml:space="preserve">     Обеспеченность посадочными местами составляет 71,8% от норматива </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noProof/>
          <w:sz w:val="24"/>
          <w:szCs w:val="24"/>
          <w:lang w:eastAsia="ru-RU"/>
        </w:rPr>
        <w:drawing>
          <wp:inline distT="0" distB="0" distL="0" distR="0">
            <wp:extent cx="5623560" cy="3185160"/>
            <wp:effectExtent l="0" t="0" r="0" b="0"/>
            <wp:docPr id="2" name="Рисунок 2" descr="http://old.admkogalym.ru/SetPict.gif?nd=458204147&amp;nh=0&amp;pictid=010000001L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4147&amp;nh=0&amp;pictid=010000001L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w:t>
      </w:r>
      <w:r w:rsidRPr="00AE1625">
        <w:rPr>
          <w:rFonts w:ascii="Times New Roman" w:eastAsia="Times New Roman" w:hAnsi="Times New Roman" w:cs="Times New Roman"/>
          <w:sz w:val="24"/>
          <w:szCs w:val="24"/>
          <w:lang w:eastAsia="ru-RU"/>
        </w:rPr>
        <w:br/>
        <w:t>     Состояние материально - технической базы предприятий общественного питания на 1 января 2011 год представлено следующим образом:</w:t>
      </w:r>
      <w:r w:rsidRPr="00AE1625">
        <w:rPr>
          <w:rFonts w:ascii="Times New Roman" w:eastAsia="Times New Roman" w:hAnsi="Times New Roman" w:cs="Times New Roman"/>
          <w:sz w:val="24"/>
          <w:szCs w:val="24"/>
          <w:lang w:eastAsia="ru-RU"/>
        </w:rPr>
        <w:br/>
        <w:t>     - 78 предприятий (69%) функционируют в зданиях капитального исполнения;</w:t>
      </w:r>
      <w:r w:rsidRPr="00AE1625">
        <w:rPr>
          <w:rFonts w:ascii="Times New Roman" w:eastAsia="Times New Roman" w:hAnsi="Times New Roman" w:cs="Times New Roman"/>
          <w:sz w:val="24"/>
          <w:szCs w:val="24"/>
          <w:lang w:eastAsia="ru-RU"/>
        </w:rPr>
        <w:br/>
        <w:t>     - 16 предприятий (14%) функционируют в зданиях блочного типа;</w:t>
      </w:r>
      <w:r w:rsidRPr="00AE1625">
        <w:rPr>
          <w:rFonts w:ascii="Times New Roman" w:eastAsia="Times New Roman" w:hAnsi="Times New Roman" w:cs="Times New Roman"/>
          <w:sz w:val="24"/>
          <w:szCs w:val="24"/>
          <w:lang w:eastAsia="ru-RU"/>
        </w:rPr>
        <w:br/>
        <w:t>     - 18 предприятий (16%) функционируют в зданиях деревянного исполнения;</w:t>
      </w:r>
      <w:r w:rsidRPr="00AE1625">
        <w:rPr>
          <w:rFonts w:ascii="Times New Roman" w:eastAsia="Times New Roman" w:hAnsi="Times New Roman" w:cs="Times New Roman"/>
          <w:sz w:val="24"/>
          <w:szCs w:val="24"/>
          <w:lang w:eastAsia="ru-RU"/>
        </w:rPr>
        <w:br/>
        <w:t>     - 1 предприятий (1%) прочие (передвижные вагоны, тонары, в корпусе катера и ж/д вагона).</w:t>
      </w:r>
      <w:r w:rsidRPr="00AE1625">
        <w:rPr>
          <w:rFonts w:ascii="Times New Roman" w:eastAsia="Times New Roman" w:hAnsi="Times New Roman" w:cs="Times New Roman"/>
          <w:sz w:val="24"/>
          <w:szCs w:val="24"/>
          <w:lang w:eastAsia="ru-RU"/>
        </w:rPr>
        <w:br/>
        <w:t>     55 предприятий общественного питания или 49% от общего количества расположены в типовых помещениях, 58 предприятий или 51% в приспособленных помещениях.</w:t>
      </w:r>
      <w:r w:rsidRPr="00AE1625">
        <w:rPr>
          <w:rFonts w:ascii="Times New Roman" w:eastAsia="Times New Roman" w:hAnsi="Times New Roman" w:cs="Times New Roman"/>
          <w:sz w:val="24"/>
          <w:szCs w:val="24"/>
          <w:lang w:eastAsia="ru-RU"/>
        </w:rPr>
        <w:br/>
        <w:t>     Общий процент износа всех зданий предприятий общественного питания составляет - 52%.</w:t>
      </w:r>
      <w:r w:rsidRPr="00AE1625">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в городе начинают развиваться услуги дополнительного сервиса по предоставлению услуг общественного питания:</w:t>
      </w:r>
      <w:r w:rsidRPr="00AE1625">
        <w:rPr>
          <w:rFonts w:ascii="Times New Roman" w:eastAsia="Times New Roman" w:hAnsi="Times New Roman" w:cs="Times New Roman"/>
          <w:sz w:val="24"/>
          <w:szCs w:val="24"/>
          <w:lang w:eastAsia="ru-RU"/>
        </w:rPr>
        <w:br/>
        <w:t>     - доставка блюд и кулинарной продукции по заказам потребителей;</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lastRenderedPageBreak/>
        <w:t>     - обеспечение офисов различных предприятий горячими обедами, заказ которых может осуществляться через Интернет или по телефону;</w:t>
      </w:r>
      <w:r w:rsidRPr="00AE1625">
        <w:rPr>
          <w:rFonts w:ascii="Times New Roman" w:eastAsia="Times New Roman" w:hAnsi="Times New Roman" w:cs="Times New Roman"/>
          <w:sz w:val="24"/>
          <w:szCs w:val="24"/>
          <w:lang w:eastAsia="ru-RU"/>
        </w:rPr>
        <w:br/>
        <w:t>     - организация и обеспечение диетическим питанием рабочих и служащих.</w:t>
      </w:r>
      <w:r w:rsidRPr="00AE1625">
        <w:rPr>
          <w:rFonts w:ascii="Times New Roman" w:eastAsia="Times New Roman" w:hAnsi="Times New Roman" w:cs="Times New Roman"/>
          <w:sz w:val="24"/>
          <w:szCs w:val="24"/>
          <w:lang w:eastAsia="ru-RU"/>
        </w:rPr>
        <w:br/>
        <w:t>     В течение летнего периода 2010 года в городе было  открыто 2 летних кафе на 160 посадочных мест.</w:t>
      </w:r>
    </w:p>
    <w:p w:rsidR="00AE1625" w:rsidRPr="00AE1625" w:rsidRDefault="00AE1625" w:rsidP="00AE1625">
      <w:pPr>
        <w:spacing w:before="100" w:beforeAutospacing="1" w:after="240" w:line="240" w:lineRule="auto"/>
        <w:jc w:val="center"/>
        <w:rPr>
          <w:rFonts w:ascii="Times New Roman" w:eastAsia="Times New Roman" w:hAnsi="Times New Roman" w:cs="Times New Roman"/>
          <w:sz w:val="24"/>
          <w:szCs w:val="24"/>
          <w:lang w:eastAsia="ru-RU"/>
        </w:rPr>
      </w:pPr>
      <w:r w:rsidRPr="00AE1625">
        <w:rPr>
          <w:rFonts w:ascii="Times New Roman" w:eastAsia="Times New Roman" w:hAnsi="Times New Roman" w:cs="Times New Roman"/>
          <w:i/>
          <w:iCs/>
          <w:sz w:val="24"/>
          <w:szCs w:val="24"/>
          <w:lang w:eastAsia="ru-RU"/>
        </w:rPr>
        <w:t>Платные услуги</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Общий объем платных услуг населению за январь - март 2011 года, по предварительной оценке, составил 638,2 млн. рублей, или 104% в сопоставимых ценах к аналогичному периоду прошлого года.</w:t>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br/>
        <w:t>    </w:t>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sz w:val="24"/>
          <w:szCs w:val="24"/>
          <w:lang w:eastAsia="ru-RU"/>
        </w:rPr>
        <w:br/>
      </w:r>
      <w:r w:rsidRPr="00AE1625">
        <w:rPr>
          <w:rFonts w:ascii="Times New Roman" w:eastAsia="Times New Roman" w:hAnsi="Times New Roman" w:cs="Times New Roman"/>
          <w:noProof/>
          <w:sz w:val="24"/>
          <w:szCs w:val="24"/>
          <w:lang w:eastAsia="ru-RU"/>
        </w:rPr>
        <w:drawing>
          <wp:inline distT="0" distB="0" distL="0" distR="0">
            <wp:extent cx="5935980" cy="2590800"/>
            <wp:effectExtent l="0" t="0" r="7620" b="0"/>
            <wp:docPr id="1" name="Рисунок 1" descr="http://old.admkogalym.ru/SetPict.gif?nd=458204147&amp;nh=0&amp;pictid=010000001Q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4147&amp;nh=0&amp;pictid=010000001Q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2590800"/>
                    </a:xfrm>
                    <a:prstGeom prst="rect">
                      <a:avLst/>
                    </a:prstGeom>
                    <a:noFill/>
                    <a:ln>
                      <a:noFill/>
                    </a:ln>
                  </pic:spPr>
                </pic:pic>
              </a:graphicData>
            </a:graphic>
          </wp:inline>
        </w:drawing>
      </w:r>
    </w:p>
    <w:p w:rsidR="00AE1625" w:rsidRPr="00AE1625" w:rsidRDefault="00AE1625" w:rsidP="00AE1625">
      <w:pPr>
        <w:spacing w:before="100" w:beforeAutospacing="1" w:after="100" w:afterAutospacing="1" w:line="240" w:lineRule="auto"/>
        <w:rPr>
          <w:rFonts w:ascii="Times New Roman" w:eastAsia="Times New Roman" w:hAnsi="Times New Roman" w:cs="Times New Roman"/>
          <w:sz w:val="24"/>
          <w:szCs w:val="24"/>
          <w:lang w:eastAsia="ru-RU"/>
        </w:rPr>
      </w:pPr>
      <w:r w:rsidRPr="00AE1625">
        <w:rPr>
          <w:rFonts w:ascii="Times New Roman" w:eastAsia="Times New Roman" w:hAnsi="Times New Roman" w:cs="Times New Roman"/>
          <w:sz w:val="24"/>
          <w:szCs w:val="24"/>
          <w:lang w:eastAsia="ru-RU"/>
        </w:rPr>
        <w:t>      В расчёте на одного жителя оказано услуг на сумму 10,9 тыс. рублей (в январе - марте 2010 года - 9,7 тыс. рублей).</w:t>
      </w:r>
      <w:r w:rsidRPr="00AE1625">
        <w:rPr>
          <w:rFonts w:ascii="Times New Roman" w:eastAsia="Times New Roman" w:hAnsi="Times New Roman" w:cs="Times New Roman"/>
          <w:sz w:val="24"/>
          <w:szCs w:val="24"/>
          <w:lang w:eastAsia="ru-RU"/>
        </w:rPr>
        <w:br/>
        <w:t>     Несмотря на различные тенденции развития отдельных видов услуг, структура платных услуг не претерпела существенных изменений.</w:t>
      </w:r>
      <w:r w:rsidRPr="00AE1625">
        <w:rPr>
          <w:rFonts w:ascii="Times New Roman" w:eastAsia="Times New Roman" w:hAnsi="Times New Roman" w:cs="Times New Roman"/>
          <w:sz w:val="24"/>
          <w:szCs w:val="24"/>
          <w:lang w:eastAsia="ru-RU"/>
        </w:rPr>
        <w:br/>
        <w:t xml:space="preserve">     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r w:rsidRPr="00AE1625">
        <w:rPr>
          <w:rFonts w:ascii="Times New Roman" w:eastAsia="Times New Roman" w:hAnsi="Times New Roman" w:cs="Times New Roman"/>
          <w:sz w:val="24"/>
          <w:szCs w:val="24"/>
          <w:lang w:eastAsia="ru-RU"/>
        </w:rPr>
        <w:br/>
        <w:t>     Услуги культуры, медицинские и услуги образования имеют стабильные темпы развития, но их доля в общем объёме изменяется незначительно.</w:t>
      </w:r>
      <w:r w:rsidRPr="00AE1625">
        <w:rPr>
          <w:rFonts w:ascii="Times New Roman" w:eastAsia="Times New Roman" w:hAnsi="Times New Roman" w:cs="Times New Roman"/>
          <w:sz w:val="24"/>
          <w:szCs w:val="24"/>
          <w:lang w:eastAsia="ru-RU"/>
        </w:rPr>
        <w:br/>
        <w:t>     Сохраняется интерес и к потреблению отдельных видов бытовых услуг, объём которых составил 276,6 млн. рублей, или 102,7% в сопоставимых ценах к соответствующему периоду прошлого года.</w:t>
      </w:r>
      <w:r w:rsidRPr="00AE1625">
        <w:rPr>
          <w:rFonts w:ascii="Times New Roman" w:eastAsia="Times New Roman" w:hAnsi="Times New Roman" w:cs="Times New Roman"/>
          <w:sz w:val="24"/>
          <w:szCs w:val="24"/>
          <w:lang w:eastAsia="ru-RU"/>
        </w:rPr>
        <w:br/>
        <w:t>     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25"/>
    <w:rsid w:val="00AE1625"/>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82AD7-B486-48AE-913E-788B14E0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6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8654</Words>
  <Characters>49334</Characters>
  <Application>Microsoft Office Word</Application>
  <DocSecurity>0</DocSecurity>
  <Lines>411</Lines>
  <Paragraphs>115</Paragraphs>
  <ScaleCrop>false</ScaleCrop>
  <Company/>
  <LinksUpToDate>false</LinksUpToDate>
  <CharactersWithSpaces>57873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2014-11-14T04:46:00Z</dcterms:created>
  <dcterms:modified xsi:type="dcterms:W3CDTF">2014-11-14T04:46:00Z</dcterms:modified>
</cp:coreProperties>
</file>